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Arial" w:hAnsi="Arial" w:cs="Arial"/>
          <w:sz w:val="24"/>
          <w:szCs w:val="24"/>
          <w:highlight w:val="yellow"/>
        </w:rPr>
        <w:id w:val="415365"/>
        <w:docPartObj>
          <w:docPartGallery w:val="Cover Pages"/>
          <w:docPartUnique/>
        </w:docPartObj>
      </w:sdtPr>
      <w:sdtEndPr/>
      <w:sdtContent>
        <w:bookmarkStart w:id="0" w:name="_GoBack" w:displacedByCustomXml="prev"/>
        <w:bookmarkEnd w:id="0" w:displacedByCustomXml="prev"/>
        <w:p w:rsidR="00084717" w:rsidRPr="00344311" w:rsidRDefault="00084717" w:rsidP="00A90166">
          <w:pPr>
            <w:spacing w:after="0" w:line="240" w:lineRule="auto"/>
            <w:jc w:val="center"/>
            <w:rPr>
              <w:rFonts w:asciiTheme="majorHAnsi" w:hAnsiTheme="majorHAnsi" w:cs="Arial"/>
              <w:sz w:val="24"/>
              <w:szCs w:val="24"/>
            </w:rPr>
          </w:pPr>
          <w:r w:rsidRPr="00344311">
            <w:rPr>
              <w:rFonts w:asciiTheme="majorHAnsi" w:hAnsiTheme="majorHAnsi" w:cs="Arial"/>
              <w:sz w:val="24"/>
              <w:szCs w:val="24"/>
            </w:rPr>
            <w:t>BOSNA I HERCEGOVINA</w:t>
          </w:r>
        </w:p>
        <w:p w:rsidR="00084717" w:rsidRPr="00344311" w:rsidRDefault="00084717" w:rsidP="00A90166">
          <w:pPr>
            <w:spacing w:after="0" w:line="240" w:lineRule="auto"/>
            <w:jc w:val="center"/>
            <w:rPr>
              <w:rFonts w:asciiTheme="majorHAnsi" w:hAnsiTheme="majorHAnsi" w:cs="Arial"/>
              <w:sz w:val="24"/>
              <w:szCs w:val="24"/>
            </w:rPr>
          </w:pPr>
          <w:r w:rsidRPr="00344311">
            <w:rPr>
              <w:rFonts w:asciiTheme="majorHAnsi" w:hAnsiTheme="majorHAnsi" w:cs="Arial"/>
              <w:sz w:val="24"/>
              <w:szCs w:val="24"/>
            </w:rPr>
            <w:t>FEDERACIJA BOSNE I HERCEGOVINE</w:t>
          </w:r>
        </w:p>
        <w:p w:rsidR="000500BA" w:rsidRPr="00344311" w:rsidRDefault="00084717" w:rsidP="00A90166">
          <w:pPr>
            <w:spacing w:after="0" w:line="240" w:lineRule="auto"/>
            <w:jc w:val="center"/>
            <w:rPr>
              <w:rFonts w:asciiTheme="majorHAnsi" w:hAnsiTheme="majorHAnsi" w:cs="Arial"/>
              <w:sz w:val="24"/>
              <w:szCs w:val="24"/>
            </w:rPr>
          </w:pPr>
          <w:r w:rsidRPr="00344311">
            <w:rPr>
              <w:rFonts w:asciiTheme="majorHAnsi" w:hAnsiTheme="majorHAnsi" w:cs="Arial"/>
              <w:sz w:val="24"/>
              <w:szCs w:val="24"/>
            </w:rPr>
            <w:t>FEDERALNO MINISTARSTVO FINANSIJA</w:t>
          </w:r>
        </w:p>
        <w:p w:rsidR="00084717" w:rsidRPr="00344311" w:rsidRDefault="00084717" w:rsidP="00A90166">
          <w:pPr>
            <w:spacing w:after="0" w:line="240" w:lineRule="auto"/>
            <w:jc w:val="center"/>
            <w:rPr>
              <w:rFonts w:asciiTheme="majorHAnsi" w:hAnsiTheme="majorHAnsi" w:cs="Arial"/>
              <w:sz w:val="24"/>
              <w:szCs w:val="24"/>
            </w:rPr>
          </w:pPr>
          <w:r w:rsidRPr="00344311">
            <w:rPr>
              <w:rFonts w:asciiTheme="majorHAnsi" w:hAnsiTheme="majorHAnsi" w:cs="Arial"/>
              <w:sz w:val="24"/>
              <w:szCs w:val="24"/>
            </w:rPr>
            <w:t>FEDERALNO MINISTARSTVO FINANCIJA</w:t>
          </w: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E35C3F" w:rsidRPr="001F212B" w:rsidRDefault="00E35C3F" w:rsidP="00A90166">
          <w:pPr>
            <w:spacing w:after="0" w:line="240" w:lineRule="auto"/>
            <w:jc w:val="center"/>
            <w:rPr>
              <w:rFonts w:ascii="Arial" w:hAnsi="Arial" w:cs="Arial"/>
              <w:sz w:val="24"/>
              <w:szCs w:val="24"/>
              <w:highlight w:val="yellow"/>
            </w:rPr>
          </w:pPr>
        </w:p>
        <w:p w:rsidR="00E35C3F" w:rsidRPr="001F212B" w:rsidRDefault="00E35C3F"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10F2E" w:rsidP="00A90166">
          <w:pPr>
            <w:spacing w:after="0" w:line="240" w:lineRule="auto"/>
            <w:jc w:val="center"/>
            <w:rPr>
              <w:rFonts w:ascii="Arial" w:hAnsi="Arial" w:cs="Arial"/>
              <w:sz w:val="24"/>
              <w:szCs w:val="24"/>
              <w:highlight w:val="yellow"/>
            </w:rPr>
          </w:pPr>
          <w:r w:rsidRPr="001F212B">
            <w:rPr>
              <w:rFonts w:ascii="Arial" w:hAnsi="Arial" w:cs="Arial"/>
              <w:sz w:val="24"/>
              <w:szCs w:val="24"/>
              <w:highlight w:val="yellow"/>
              <w:lang w:eastAsia="bs-Latn-BA"/>
            </w:rPr>
            <mc:AlternateContent>
              <mc:Choice Requires="wps">
                <w:drawing>
                  <wp:anchor distT="0" distB="0" distL="114300" distR="114300" simplePos="0" relativeHeight="252099072" behindDoc="0" locked="0" layoutInCell="1" allowOverlap="1" wp14:anchorId="50958366" wp14:editId="12DEC18A">
                    <wp:simplePos x="0" y="0"/>
                    <wp:positionH relativeFrom="column">
                      <wp:posOffset>733425</wp:posOffset>
                    </wp:positionH>
                    <wp:positionV relativeFrom="paragraph">
                      <wp:posOffset>142875</wp:posOffset>
                    </wp:positionV>
                    <wp:extent cx="5753100" cy="733425"/>
                    <wp:effectExtent l="19050" t="0" r="19050" b="28575"/>
                    <wp:wrapNone/>
                    <wp:docPr id="88" name="Chevron 88"/>
                    <wp:cNvGraphicFramePr/>
                    <a:graphic xmlns:a="http://schemas.openxmlformats.org/drawingml/2006/main">
                      <a:graphicData uri="http://schemas.microsoft.com/office/word/2010/wordprocessingShape">
                        <wps:wsp>
                          <wps:cNvSpPr/>
                          <wps:spPr>
                            <a:xfrm>
                              <a:off x="0" y="0"/>
                              <a:ext cx="5753100" cy="733425"/>
                            </a:xfrm>
                            <a:prstGeom prst="chevron">
                              <a:avLst/>
                            </a:prstGeom>
                            <a:solidFill>
                              <a:schemeClr val="accent3">
                                <a:lumMod val="60000"/>
                                <a:lumOff val="40000"/>
                              </a:schemeClr>
                            </a:solidFill>
                            <a:ln>
                              <a:solidFill>
                                <a:schemeClr val="accent3">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0F2E" w:rsidRPr="00344311" w:rsidRDefault="0059403E" w:rsidP="00C10F2E">
                                <w:pPr>
                                  <w:spacing w:after="0"/>
                                  <w:jc w:val="center"/>
                                  <w:rPr>
                                    <w:rFonts w:asciiTheme="majorHAnsi" w:hAnsiTheme="majorHAnsi"/>
                                    <w:b/>
                                    <w:smallCaps/>
                                    <w:sz w:val="28"/>
                                    <w:szCs w:val="32"/>
                                  </w:rPr>
                                </w:pPr>
                                <w:r w:rsidRPr="00344311">
                                  <w:rPr>
                                    <w:rFonts w:asciiTheme="majorHAnsi" w:hAnsiTheme="majorHAnsi"/>
                                    <w:b/>
                                    <w:smallCaps/>
                                    <w:sz w:val="28"/>
                                    <w:szCs w:val="32"/>
                                  </w:rPr>
                                  <w:t xml:space="preserve">OBRAZLOŽENJE </w:t>
                                </w:r>
                                <w:r w:rsidR="00C10F2E" w:rsidRPr="00344311">
                                  <w:rPr>
                                    <w:rFonts w:asciiTheme="majorHAnsi" w:hAnsiTheme="majorHAnsi"/>
                                    <w:b/>
                                    <w:smallCaps/>
                                    <w:sz w:val="28"/>
                                    <w:szCs w:val="32"/>
                                  </w:rPr>
                                  <w:t>PRIJEDLOGA</w:t>
                                </w:r>
                                <w:r w:rsidRPr="00344311">
                                  <w:rPr>
                                    <w:rFonts w:asciiTheme="majorHAnsi" w:hAnsiTheme="majorHAnsi"/>
                                    <w:b/>
                                    <w:smallCaps/>
                                    <w:sz w:val="28"/>
                                    <w:szCs w:val="32"/>
                                  </w:rPr>
                                  <w:t xml:space="preserve"> ODLUKE O IZMJENAMA</w:t>
                                </w:r>
                              </w:p>
                              <w:p w:rsidR="0059403E" w:rsidRPr="00344311" w:rsidRDefault="0059403E" w:rsidP="00C10F2E">
                                <w:pPr>
                                  <w:spacing w:after="0"/>
                                  <w:jc w:val="center"/>
                                  <w:rPr>
                                    <w:rFonts w:asciiTheme="majorHAnsi" w:hAnsiTheme="majorHAnsi"/>
                                    <w:b/>
                                    <w:sz w:val="28"/>
                                    <w:szCs w:val="32"/>
                                  </w:rPr>
                                </w:pPr>
                                <w:r w:rsidRPr="00344311">
                                  <w:rPr>
                                    <w:rFonts w:asciiTheme="majorHAnsi" w:hAnsiTheme="majorHAnsi"/>
                                    <w:b/>
                                    <w:smallCaps/>
                                    <w:sz w:val="28"/>
                                    <w:szCs w:val="32"/>
                                  </w:rPr>
                                  <w:t xml:space="preserve"> I DOPUNAMA </w:t>
                                </w:r>
                                <w:r w:rsidR="00455CBE">
                                  <w:rPr>
                                    <w:rFonts w:asciiTheme="majorHAnsi" w:hAnsiTheme="majorHAnsi"/>
                                    <w:b/>
                                    <w:smallCaps/>
                                    <w:sz w:val="28"/>
                                    <w:szCs w:val="32"/>
                                  </w:rPr>
                                  <w:t>PRORAČUNA</w:t>
                                </w:r>
                                <w:r w:rsidRPr="00344311">
                                  <w:rPr>
                                    <w:rFonts w:asciiTheme="majorHAnsi" w:hAnsiTheme="majorHAnsi"/>
                                    <w:b/>
                                    <w:smallCaps/>
                                    <w:sz w:val="28"/>
                                    <w:szCs w:val="32"/>
                                  </w:rPr>
                                  <w:t xml:space="preserve"> FEDERACIJE BIH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958366"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Chevron 88" o:spid="_x0000_s1026" type="#_x0000_t55" style="position:absolute;left:0;text-align:left;margin-left:57.75pt;margin-top:11.25pt;width:453pt;height:57.75pt;z-index:25209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" adj="20223" fillcolor="#c2d69b [1942]" strokecolor="#c2d69b [1942]" strokeweight="2pt">
                    <v:textbox>
                      <w:txbxContent>
                        <w:p w:rsidR="00C10F2E" w:rsidRPr="00344311" w:rsidRDefault="0059403E" w:rsidP="00C10F2E">
                          <w:pPr>
                            <w:spacing w:after="0"/>
                            <w:jc w:val="center"/>
                            <w:rPr>
                              <w:rFonts w:asciiTheme="majorHAnsi" w:hAnsiTheme="majorHAnsi"/>
                              <w:b/>
                              <w:smallCaps/>
                              <w:sz w:val="28"/>
                              <w:szCs w:val="32"/>
                            </w:rPr>
                          </w:pPr>
                          <w:r w:rsidRPr="00344311">
                            <w:rPr>
                              <w:rFonts w:asciiTheme="majorHAnsi" w:hAnsiTheme="majorHAnsi"/>
                              <w:b/>
                              <w:smallCaps/>
                              <w:sz w:val="28"/>
                              <w:szCs w:val="32"/>
                            </w:rPr>
                            <w:t xml:space="preserve">OBRAZLOŽENJE </w:t>
                          </w:r>
                          <w:r w:rsidR="00C10F2E" w:rsidRPr="00344311">
                            <w:rPr>
                              <w:rFonts w:asciiTheme="majorHAnsi" w:hAnsiTheme="majorHAnsi"/>
                              <w:b/>
                              <w:smallCaps/>
                              <w:sz w:val="28"/>
                              <w:szCs w:val="32"/>
                            </w:rPr>
                            <w:t>PRIJEDLOGA</w:t>
                          </w:r>
                          <w:r w:rsidRPr="00344311">
                            <w:rPr>
                              <w:rFonts w:asciiTheme="majorHAnsi" w:hAnsiTheme="majorHAnsi"/>
                              <w:b/>
                              <w:smallCaps/>
                              <w:sz w:val="28"/>
                              <w:szCs w:val="32"/>
                            </w:rPr>
                            <w:t xml:space="preserve"> ODLUKE O IZMJENAMA</w:t>
                          </w:r>
                        </w:p>
                        <w:p w:rsidR="0059403E" w:rsidRPr="00344311" w:rsidRDefault="0059403E" w:rsidP="00C10F2E">
                          <w:pPr>
                            <w:spacing w:after="0"/>
                            <w:jc w:val="center"/>
                            <w:rPr>
                              <w:rFonts w:asciiTheme="majorHAnsi" w:hAnsiTheme="majorHAnsi"/>
                              <w:b/>
                              <w:sz w:val="28"/>
                              <w:szCs w:val="32"/>
                            </w:rPr>
                          </w:pPr>
                          <w:r w:rsidRPr="00344311">
                            <w:rPr>
                              <w:rFonts w:asciiTheme="majorHAnsi" w:hAnsiTheme="majorHAnsi"/>
                              <w:b/>
                              <w:smallCaps/>
                              <w:sz w:val="28"/>
                              <w:szCs w:val="32"/>
                            </w:rPr>
                            <w:t xml:space="preserve"> I DOPUNAMA </w:t>
                          </w:r>
                          <w:r w:rsidR="00455CBE">
                            <w:rPr>
                              <w:rFonts w:asciiTheme="majorHAnsi" w:hAnsiTheme="majorHAnsi"/>
                              <w:b/>
                              <w:smallCaps/>
                              <w:sz w:val="28"/>
                              <w:szCs w:val="32"/>
                            </w:rPr>
                            <w:t>PRORAČUNA</w:t>
                          </w:r>
                          <w:r w:rsidRPr="00344311">
                            <w:rPr>
                              <w:rFonts w:asciiTheme="majorHAnsi" w:hAnsiTheme="majorHAnsi"/>
                              <w:b/>
                              <w:smallCaps/>
                              <w:sz w:val="28"/>
                              <w:szCs w:val="32"/>
                            </w:rPr>
                            <w:t xml:space="preserve"> FEDERACIJE BIH</w:t>
                          </w:r>
                        </w:p>
                      </w:txbxContent>
                    </v:textbox>
                  </v:shape>
                </w:pict>
              </mc:Fallback>
            </mc:AlternateContent>
          </w:r>
          <w:r w:rsidR="00E9175E" w:rsidRPr="001F212B">
            <w:rPr>
              <w:rFonts w:ascii="Arial" w:hAnsi="Arial" w:cs="Arial"/>
              <w:sz w:val="24"/>
              <w:szCs w:val="24"/>
              <w:highlight w:val="yellow"/>
              <w:lang w:eastAsia="bs-Latn-BA"/>
            </w:rPr>
            <mc:AlternateContent>
              <mc:Choice Requires="wps">
                <w:drawing>
                  <wp:anchor distT="0" distB="0" distL="114300" distR="114300" simplePos="0" relativeHeight="252019200" behindDoc="0" locked="0" layoutInCell="1" allowOverlap="1" wp14:anchorId="06B38AAD" wp14:editId="30DBC386">
                    <wp:simplePos x="0" y="0"/>
                    <wp:positionH relativeFrom="column">
                      <wp:posOffset>-352425</wp:posOffset>
                    </wp:positionH>
                    <wp:positionV relativeFrom="paragraph">
                      <wp:posOffset>142875</wp:posOffset>
                    </wp:positionV>
                    <wp:extent cx="1657350" cy="733425"/>
                    <wp:effectExtent l="19050" t="0" r="19050" b="28575"/>
                    <wp:wrapNone/>
                    <wp:docPr id="87" name="Chevron 87"/>
                    <wp:cNvGraphicFramePr/>
                    <a:graphic xmlns:a="http://schemas.openxmlformats.org/drawingml/2006/main">
                      <a:graphicData uri="http://schemas.microsoft.com/office/word/2010/wordprocessingShape">
                        <wps:wsp>
                          <wps:cNvSpPr/>
                          <wps:spPr>
                            <a:xfrm>
                              <a:off x="0" y="0"/>
                              <a:ext cx="1657350" cy="733425"/>
                            </a:xfrm>
                            <a:prstGeom prst="chevron">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9403E" w:rsidRPr="00344311" w:rsidRDefault="0059403E" w:rsidP="000905EC">
                                <w:pPr>
                                  <w:jc w:val="center"/>
                                  <w:rPr>
                                    <w:rFonts w:asciiTheme="majorHAnsi" w:hAnsiTheme="majorHAnsi"/>
                                    <w:b/>
                                    <w:sz w:val="44"/>
                                    <w:szCs w:val="76"/>
                                  </w:rPr>
                                </w:pPr>
                                <w:r w:rsidRPr="00344311">
                                  <w:rPr>
                                    <w:rFonts w:asciiTheme="majorHAnsi" w:hAnsiTheme="majorHAnsi"/>
                                    <w:b/>
                                    <w:sz w:val="44"/>
                                    <w:szCs w:val="76"/>
                                  </w:rPr>
                                  <w:t>201</w:t>
                                </w:r>
                                <w:r w:rsidR="00344311" w:rsidRPr="00344311">
                                  <w:rPr>
                                    <w:rFonts w:asciiTheme="majorHAnsi" w:hAnsiTheme="majorHAnsi"/>
                                    <w:b/>
                                    <w:sz w:val="44"/>
                                    <w:szCs w:val="7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B38AAD" id="Chevron 87" o:spid="_x0000_s1027" type="#_x0000_t55" style="position:absolute;left:0;text-align:left;margin-left:-27.75pt;margin-top:11.25pt;width:130.5pt;height:57.75pt;z-index:25201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" adj="16821" fillcolor="#4e6128 [1606]" strokecolor="#4e6128 [1606]" strokeweight="2pt">
                    <v:textbox>
                      <w:txbxContent>
                        <w:p w:rsidR="0059403E" w:rsidRPr="00344311" w:rsidRDefault="0059403E" w:rsidP="000905EC">
                          <w:pPr>
                            <w:jc w:val="center"/>
                            <w:rPr>
                              <w:rFonts w:asciiTheme="majorHAnsi" w:hAnsiTheme="majorHAnsi"/>
                              <w:b/>
                              <w:sz w:val="44"/>
                              <w:szCs w:val="76"/>
                            </w:rPr>
                          </w:pPr>
                          <w:r w:rsidRPr="00344311">
                            <w:rPr>
                              <w:rFonts w:asciiTheme="majorHAnsi" w:hAnsiTheme="majorHAnsi"/>
                              <w:b/>
                              <w:sz w:val="44"/>
                              <w:szCs w:val="76"/>
                            </w:rPr>
                            <w:t>201</w:t>
                          </w:r>
                          <w:r w:rsidR="00344311" w:rsidRPr="00344311">
                            <w:rPr>
                              <w:rFonts w:asciiTheme="majorHAnsi" w:hAnsiTheme="majorHAnsi"/>
                              <w:b/>
                              <w:sz w:val="44"/>
                              <w:szCs w:val="76"/>
                            </w:rPr>
                            <w:t>6</w:t>
                          </w:r>
                        </w:p>
                      </w:txbxContent>
                    </v:textbox>
                  </v:shape>
                </w:pict>
              </mc:Fallback>
            </mc:AlternateContent>
          </w: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EF06A5" w:rsidRPr="001F212B" w:rsidRDefault="00EF06A5" w:rsidP="00A90166">
          <w:pPr>
            <w:spacing w:after="0" w:line="240" w:lineRule="auto"/>
            <w:jc w:val="center"/>
            <w:rPr>
              <w:rFonts w:ascii="Arial" w:hAnsi="Arial" w:cs="Arial"/>
              <w:sz w:val="24"/>
              <w:szCs w:val="24"/>
              <w:highlight w:val="yellow"/>
            </w:rPr>
          </w:pPr>
        </w:p>
        <w:p w:rsidR="00EF06A5" w:rsidRPr="001F212B" w:rsidRDefault="00EF06A5" w:rsidP="00A90166">
          <w:pPr>
            <w:spacing w:after="0" w:line="240" w:lineRule="auto"/>
            <w:jc w:val="center"/>
            <w:rPr>
              <w:rFonts w:ascii="Arial" w:hAnsi="Arial" w:cs="Arial"/>
              <w:sz w:val="24"/>
              <w:szCs w:val="24"/>
              <w:highlight w:val="yellow"/>
            </w:rPr>
          </w:pPr>
        </w:p>
        <w:p w:rsidR="00EF06A5" w:rsidRPr="001F212B" w:rsidRDefault="00EF06A5"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EF06A5" w:rsidRPr="001F212B" w:rsidRDefault="00EF06A5" w:rsidP="00A90166">
          <w:pPr>
            <w:spacing w:after="0" w:line="240" w:lineRule="auto"/>
            <w:jc w:val="center"/>
            <w:rPr>
              <w:rFonts w:ascii="Arial" w:hAnsi="Arial" w:cs="Arial"/>
              <w:sz w:val="24"/>
              <w:szCs w:val="24"/>
              <w:highlight w:val="yellow"/>
            </w:rPr>
          </w:pPr>
        </w:p>
        <w:p w:rsidR="00A90166" w:rsidRPr="001F212B" w:rsidRDefault="00A90166" w:rsidP="00A90166">
          <w:pPr>
            <w:spacing w:after="0" w:line="240" w:lineRule="auto"/>
            <w:jc w:val="center"/>
            <w:rPr>
              <w:rFonts w:ascii="Arial" w:hAnsi="Arial" w:cs="Arial"/>
              <w:sz w:val="24"/>
              <w:szCs w:val="24"/>
              <w:highlight w:val="yellow"/>
            </w:rPr>
          </w:pPr>
        </w:p>
        <w:p w:rsidR="00A90166" w:rsidRPr="001F212B" w:rsidRDefault="00A90166" w:rsidP="00A90166">
          <w:pPr>
            <w:spacing w:after="0" w:line="240" w:lineRule="auto"/>
            <w:jc w:val="center"/>
            <w:rPr>
              <w:rFonts w:ascii="Arial" w:hAnsi="Arial" w:cs="Arial"/>
              <w:sz w:val="24"/>
              <w:szCs w:val="24"/>
              <w:highlight w:val="yellow"/>
            </w:rPr>
          </w:pPr>
        </w:p>
        <w:p w:rsidR="00A90166" w:rsidRPr="001F212B" w:rsidRDefault="00A90166" w:rsidP="00A90166">
          <w:pPr>
            <w:spacing w:after="0" w:line="240" w:lineRule="auto"/>
            <w:jc w:val="center"/>
            <w:rPr>
              <w:rFonts w:ascii="Arial" w:hAnsi="Arial" w:cs="Arial"/>
              <w:sz w:val="24"/>
              <w:szCs w:val="24"/>
              <w:highlight w:val="yellow"/>
            </w:rPr>
          </w:pPr>
        </w:p>
        <w:p w:rsidR="00A90166" w:rsidRPr="001F212B" w:rsidRDefault="00A90166" w:rsidP="00A90166">
          <w:pPr>
            <w:spacing w:after="0" w:line="240" w:lineRule="auto"/>
            <w:jc w:val="center"/>
            <w:rPr>
              <w:rFonts w:ascii="Arial" w:hAnsi="Arial" w:cs="Arial"/>
              <w:sz w:val="24"/>
              <w:szCs w:val="24"/>
              <w:highlight w:val="yellow"/>
            </w:rPr>
          </w:pPr>
        </w:p>
        <w:p w:rsidR="00A90166" w:rsidRPr="001F212B" w:rsidRDefault="00A90166" w:rsidP="00A90166">
          <w:pPr>
            <w:spacing w:after="0" w:line="240" w:lineRule="auto"/>
            <w:jc w:val="center"/>
            <w:rPr>
              <w:rFonts w:ascii="Arial" w:hAnsi="Arial" w:cs="Arial"/>
              <w:sz w:val="24"/>
              <w:szCs w:val="24"/>
              <w:highlight w:val="yellow"/>
            </w:rPr>
          </w:pPr>
        </w:p>
        <w:p w:rsidR="00A90166" w:rsidRPr="001F212B" w:rsidRDefault="00A90166" w:rsidP="00A90166">
          <w:pPr>
            <w:spacing w:after="0" w:line="240" w:lineRule="auto"/>
            <w:jc w:val="center"/>
            <w:rPr>
              <w:rFonts w:ascii="Arial" w:hAnsi="Arial" w:cs="Arial"/>
              <w:sz w:val="24"/>
              <w:szCs w:val="24"/>
              <w:highlight w:val="yellow"/>
            </w:rPr>
          </w:pPr>
        </w:p>
        <w:p w:rsidR="00A90166" w:rsidRPr="001F212B" w:rsidRDefault="00A90166" w:rsidP="00A90166">
          <w:pPr>
            <w:spacing w:after="0" w:line="240" w:lineRule="auto"/>
            <w:jc w:val="center"/>
            <w:rPr>
              <w:rFonts w:ascii="Arial" w:hAnsi="Arial" w:cs="Arial"/>
              <w:sz w:val="24"/>
              <w:szCs w:val="24"/>
              <w:highlight w:val="yellow"/>
            </w:rPr>
          </w:pPr>
        </w:p>
        <w:p w:rsidR="00A90166" w:rsidRPr="001F212B" w:rsidRDefault="00A90166" w:rsidP="00A90166">
          <w:pPr>
            <w:spacing w:after="0" w:line="240" w:lineRule="auto"/>
            <w:jc w:val="center"/>
            <w:rPr>
              <w:rFonts w:ascii="Arial" w:hAnsi="Arial" w:cs="Arial"/>
              <w:sz w:val="24"/>
              <w:szCs w:val="24"/>
              <w:highlight w:val="yellow"/>
            </w:rPr>
          </w:pPr>
        </w:p>
        <w:p w:rsidR="00A90166" w:rsidRPr="001F212B" w:rsidRDefault="00A90166" w:rsidP="00A90166">
          <w:pPr>
            <w:spacing w:after="0" w:line="240" w:lineRule="auto"/>
            <w:jc w:val="center"/>
            <w:rPr>
              <w:rFonts w:ascii="Arial" w:hAnsi="Arial" w:cs="Arial"/>
              <w:sz w:val="24"/>
              <w:szCs w:val="24"/>
              <w:highlight w:val="yellow"/>
            </w:rPr>
          </w:pPr>
        </w:p>
        <w:p w:rsidR="00A90166" w:rsidRPr="001F212B" w:rsidRDefault="00A90166"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A90166" w:rsidRPr="001F212B" w:rsidRDefault="00A90166" w:rsidP="00A90166">
          <w:pPr>
            <w:spacing w:after="0" w:line="240" w:lineRule="auto"/>
            <w:jc w:val="right"/>
            <w:rPr>
              <w:rFonts w:ascii="Arial" w:hAnsi="Arial" w:cs="Arial"/>
              <w:sz w:val="24"/>
              <w:szCs w:val="24"/>
              <w:highlight w:val="yellow"/>
            </w:rPr>
          </w:pPr>
        </w:p>
        <w:p w:rsidR="004C0301" w:rsidRPr="001F212B" w:rsidRDefault="004C0301" w:rsidP="00A90166">
          <w:pPr>
            <w:spacing w:after="0" w:line="240" w:lineRule="auto"/>
            <w:jc w:val="right"/>
            <w:rPr>
              <w:rFonts w:ascii="Arial" w:hAnsi="Arial" w:cs="Arial"/>
              <w:sz w:val="24"/>
              <w:szCs w:val="24"/>
              <w:highlight w:val="yellow"/>
            </w:rPr>
          </w:pPr>
        </w:p>
        <w:p w:rsidR="004C0301" w:rsidRPr="001F212B" w:rsidRDefault="004C0301" w:rsidP="00A90166">
          <w:pPr>
            <w:spacing w:after="0" w:line="240" w:lineRule="auto"/>
            <w:jc w:val="right"/>
            <w:rPr>
              <w:rFonts w:ascii="Arial" w:hAnsi="Arial" w:cs="Arial"/>
              <w:sz w:val="24"/>
              <w:szCs w:val="24"/>
              <w:highlight w:val="yellow"/>
            </w:rPr>
          </w:pPr>
        </w:p>
        <w:p w:rsidR="00EF06A5" w:rsidRPr="001F212B" w:rsidRDefault="00EF06A5" w:rsidP="00A90166">
          <w:pPr>
            <w:spacing w:after="0" w:line="240" w:lineRule="auto"/>
            <w:jc w:val="right"/>
            <w:rPr>
              <w:rFonts w:ascii="Arial" w:hAnsi="Arial" w:cs="Arial"/>
              <w:sz w:val="24"/>
              <w:szCs w:val="24"/>
              <w:highlight w:val="yellow"/>
            </w:rPr>
          </w:pPr>
        </w:p>
        <w:p w:rsidR="00A90166" w:rsidRPr="00344311" w:rsidRDefault="00EF06A5" w:rsidP="00A90166">
          <w:pPr>
            <w:spacing w:after="0" w:line="240" w:lineRule="auto"/>
            <w:jc w:val="center"/>
            <w:rPr>
              <w:rFonts w:asciiTheme="majorHAnsi" w:hAnsiTheme="majorHAnsi" w:cs="Arial"/>
              <w:sz w:val="24"/>
              <w:szCs w:val="24"/>
            </w:rPr>
          </w:pPr>
          <w:r w:rsidRPr="00344311">
            <w:rPr>
              <w:rFonts w:asciiTheme="majorHAnsi" w:hAnsiTheme="majorHAnsi" w:cs="Arial"/>
              <w:sz w:val="24"/>
              <w:szCs w:val="24"/>
            </w:rPr>
            <w:t>Sarajevo</w:t>
          </w:r>
          <w:r w:rsidR="00C03A32" w:rsidRPr="00344311">
            <w:rPr>
              <w:rFonts w:asciiTheme="majorHAnsi" w:hAnsiTheme="majorHAnsi" w:cs="Arial"/>
              <w:sz w:val="24"/>
              <w:szCs w:val="24"/>
            </w:rPr>
            <w:t xml:space="preserve">, </w:t>
          </w:r>
          <w:r w:rsidR="00455CBE">
            <w:rPr>
              <w:rFonts w:asciiTheme="majorHAnsi" w:hAnsiTheme="majorHAnsi" w:cs="Arial"/>
              <w:sz w:val="24"/>
              <w:szCs w:val="24"/>
            </w:rPr>
            <w:t>studeni</w:t>
          </w:r>
          <w:r w:rsidR="00945FB7" w:rsidRPr="00344311">
            <w:rPr>
              <w:rFonts w:asciiTheme="majorHAnsi" w:hAnsiTheme="majorHAnsi" w:cs="Arial"/>
              <w:sz w:val="24"/>
              <w:szCs w:val="24"/>
            </w:rPr>
            <w:t xml:space="preserve"> 201</w:t>
          </w:r>
          <w:r w:rsidR="00344311" w:rsidRPr="00344311">
            <w:rPr>
              <w:rFonts w:asciiTheme="majorHAnsi" w:hAnsiTheme="majorHAnsi" w:cs="Arial"/>
              <w:sz w:val="24"/>
              <w:szCs w:val="24"/>
            </w:rPr>
            <w:t>6</w:t>
          </w:r>
          <w:r w:rsidR="003E4AD6" w:rsidRPr="00344311">
            <w:rPr>
              <w:rFonts w:asciiTheme="majorHAnsi" w:hAnsiTheme="majorHAnsi" w:cs="Arial"/>
              <w:sz w:val="24"/>
              <w:szCs w:val="24"/>
            </w:rPr>
            <w:t>.</w:t>
          </w:r>
          <w:r w:rsidR="00691C41" w:rsidRPr="00344311">
            <w:rPr>
              <w:rFonts w:asciiTheme="majorHAnsi" w:hAnsiTheme="majorHAnsi" w:cs="Arial"/>
              <w:sz w:val="24"/>
              <w:szCs w:val="24"/>
            </w:rPr>
            <w:t xml:space="preserve"> </w:t>
          </w:r>
          <w:r w:rsidR="00C04CCA" w:rsidRPr="00344311">
            <w:rPr>
              <w:rFonts w:asciiTheme="majorHAnsi" w:hAnsiTheme="majorHAnsi" w:cs="Arial"/>
              <w:sz w:val="24"/>
              <w:szCs w:val="24"/>
            </w:rPr>
            <w:t>g</w:t>
          </w:r>
          <w:r w:rsidRPr="00344311">
            <w:rPr>
              <w:rFonts w:asciiTheme="majorHAnsi" w:hAnsiTheme="majorHAnsi" w:cs="Arial"/>
              <w:sz w:val="24"/>
              <w:szCs w:val="24"/>
            </w:rPr>
            <w:t>odine</w:t>
          </w:r>
        </w:p>
        <w:p w:rsidR="00DF47EF" w:rsidRPr="001F212B" w:rsidRDefault="00632CCE" w:rsidP="00DF47EF">
          <w:pPr>
            <w:spacing w:before="240" w:after="240" w:line="240" w:lineRule="auto"/>
            <w:jc w:val="both"/>
            <w:rPr>
              <w:rFonts w:ascii="Arial" w:hAnsi="Arial" w:cs="Arial"/>
              <w:sz w:val="24"/>
              <w:szCs w:val="24"/>
              <w:highlight w:val="yellow"/>
            </w:rPr>
          </w:pPr>
          <w:r w:rsidRPr="001F212B">
            <w:rPr>
              <w:rFonts w:ascii="Arial" w:hAnsi="Arial" w:cs="Arial"/>
              <w:sz w:val="24"/>
              <w:szCs w:val="24"/>
              <w:highlight w:val="yellow"/>
              <w:lang w:eastAsia="bs-Latn-BA"/>
            </w:rPr>
            <w:lastRenderedPageBreak/>
            <mc:AlternateContent>
              <mc:Choice Requires="wps">
                <w:drawing>
                  <wp:anchor distT="0" distB="0" distL="114300" distR="114300" simplePos="0" relativeHeight="251295232" behindDoc="0" locked="0" layoutInCell="0" allowOverlap="1" wp14:anchorId="79E8B9C0" wp14:editId="702B054A">
                    <wp:simplePos x="0" y="0"/>
                    <wp:positionH relativeFrom="page">
                      <wp:posOffset>638355</wp:posOffset>
                    </wp:positionH>
                    <wp:positionV relativeFrom="page">
                      <wp:posOffset>940279</wp:posOffset>
                    </wp:positionV>
                    <wp:extent cx="6586220" cy="439947"/>
                    <wp:effectExtent l="0" t="0" r="5080" b="0"/>
                    <wp:wrapNone/>
                    <wp:docPr id="12"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86220" cy="439947"/>
                            </a:xfrm>
                            <a:prstGeom prst="rect">
                              <a:avLst/>
                            </a:prstGeom>
                            <a:solidFill>
                              <a:srgbClr val="404F21">
                                <a:alpha val="89804"/>
                              </a:srgbClr>
                            </a:solidFill>
                            <a:ln>
                              <a:noFill/>
                            </a:ln>
                            <a:extLst/>
                          </wps:spPr>
                          <wps:txbx>
                            <w:txbxContent>
                              <w:tbl>
                                <w:tblPr>
                                  <w:tblW w:w="5188" w:type="pct"/>
                                  <w:tblCellMar>
                                    <w:left w:w="360" w:type="dxa"/>
                                    <w:right w:w="360" w:type="dxa"/>
                                  </w:tblCellMar>
                                  <w:tblLook w:val="04A0" w:firstRow="1" w:lastRow="0" w:firstColumn="1" w:lastColumn="0" w:noHBand="0" w:noVBand="1"/>
                                </w:tblPr>
                                <w:tblGrid>
                                  <w:gridCol w:w="1170"/>
                                  <w:gridCol w:w="8845"/>
                                </w:tblGrid>
                                <w:tr w:rsidR="0059403E" w:rsidTr="00F322BC">
                                  <w:trPr>
                                    <w:trHeight w:val="742"/>
                                  </w:trPr>
                                  <w:tc>
                                    <w:tcPr>
                                      <w:tcW w:w="584" w:type="pct"/>
                                      <w:shd w:val="clear" w:color="auto" w:fill="4F6228" w:themeFill="accent3" w:themeFillShade="80"/>
                                      <w:vAlign w:val="center"/>
                                    </w:tcPr>
                                    <w:p w:rsidR="0059403E" w:rsidRPr="000905EC" w:rsidRDefault="0059403E" w:rsidP="00CD407B">
                                      <w:pPr>
                                        <w:pStyle w:val="NoSpacing"/>
                                        <w:jc w:val="center"/>
                                        <w:rPr>
                                          <w:b/>
                                          <w:smallCaps/>
                                          <w:sz w:val="24"/>
                                          <w:szCs w:val="24"/>
                                          <w:highlight w:val="yellow"/>
                                        </w:rPr>
                                      </w:pPr>
                                    </w:p>
                                  </w:tc>
                                  <w:tc>
                                    <w:tcPr>
                                      <w:tcW w:w="4416" w:type="pct"/>
                                      <w:shd w:val="clear" w:color="auto" w:fill="C2D69B" w:themeFill="accent3" w:themeFillTint="99"/>
                                      <w:vAlign w:val="center"/>
                                    </w:tcPr>
                                    <w:p w:rsidR="0059403E" w:rsidRPr="00344311" w:rsidRDefault="0059403E" w:rsidP="00CD407B">
                                      <w:pPr>
                                        <w:pStyle w:val="NoSpacing"/>
                                        <w:rPr>
                                          <w:rFonts w:asciiTheme="majorHAnsi" w:hAnsiTheme="majorHAnsi"/>
                                          <w:b/>
                                          <w:smallCaps/>
                                          <w:color w:val="FFFFFF" w:themeColor="background1"/>
                                          <w:sz w:val="28"/>
                                          <w:szCs w:val="28"/>
                                          <w:lang w:val="de-DE"/>
                                        </w:rPr>
                                      </w:pPr>
                                      <w:r w:rsidRPr="00344311">
                                        <w:rPr>
                                          <w:rFonts w:asciiTheme="majorHAnsi" w:hAnsiTheme="majorHAnsi"/>
                                          <w:b/>
                                          <w:smallCaps/>
                                          <w:sz w:val="32"/>
                                          <w:szCs w:val="28"/>
                                          <w:lang w:val="de-DE"/>
                                        </w:rPr>
                                        <w:t>SADRŽAJ</w:t>
                                      </w:r>
                                    </w:p>
                                  </w:tc>
                                </w:tr>
                              </w:tbl>
                              <w:p w:rsidR="0059403E" w:rsidRPr="00BA0F3B" w:rsidRDefault="0059403E" w:rsidP="00DF47EF">
                                <w:pPr>
                                  <w:pStyle w:val="NoSpacing"/>
                                  <w:spacing w:line="14" w:lineRule="exact"/>
                                  <w:jc w:val="center"/>
                                  <w:rPr>
                                    <w:lang w:val="de-DE"/>
                                  </w:rPr>
                                </w:pPr>
                              </w:p>
                            </w:txbxContent>
                          </wps:txbx>
                          <wps:bodyPr rot="0" vert="horz" wrap="square" lIns="228600" tIns="0" rIns="22860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8B9C0" id="Rectangle 71" o:spid="_x0000_s1028" style="position:absolute;left:0;text-align:left;margin-left:50.25pt;margin-top:74.05pt;width:518.6pt;height:34.65pt;z-index:251295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" o:allowincell="f" fillcolor="#404f21" stroked="f">
                    <v:fill opacity="58853f"/>
                    <v:textbox inset="18pt,0,18pt,0">
                      <w:txbxContent>
                        <w:tbl>
                          <w:tblPr>
                            <w:tblW w:w="5188" w:type="pct"/>
                            <w:tblCellMar>
                              <w:left w:w="360" w:type="dxa"/>
                              <w:right w:w="360" w:type="dxa"/>
                            </w:tblCellMar>
                            <w:tblLook w:val="04A0" w:firstRow="1" w:lastRow="0" w:firstColumn="1" w:lastColumn="0" w:noHBand="0" w:noVBand="1"/>
                          </w:tblPr>
                          <w:tblGrid>
                            <w:gridCol w:w="1170"/>
                            <w:gridCol w:w="8845"/>
                          </w:tblGrid>
                          <w:tr w:rsidR="0059403E" w:rsidTr="00F322BC">
                            <w:trPr>
                              <w:trHeight w:val="742"/>
                            </w:trPr>
                            <w:tc>
                              <w:tcPr>
                                <w:tcW w:w="584" w:type="pct"/>
                                <w:shd w:val="clear" w:color="auto" w:fill="4F6228" w:themeFill="accent3" w:themeFillShade="80"/>
                                <w:vAlign w:val="center"/>
                              </w:tcPr>
                              <w:p w:rsidR="0059403E" w:rsidRPr="000905EC" w:rsidRDefault="0059403E" w:rsidP="00CD407B">
                                <w:pPr>
                                  <w:pStyle w:val="NoSpacing"/>
                                  <w:jc w:val="center"/>
                                  <w:rPr>
                                    <w:b/>
                                    <w:smallCaps/>
                                    <w:sz w:val="24"/>
                                    <w:szCs w:val="24"/>
                                    <w:highlight w:val="yellow"/>
                                  </w:rPr>
                                </w:pPr>
                              </w:p>
                            </w:tc>
                            <w:tc>
                              <w:tcPr>
                                <w:tcW w:w="4416" w:type="pct"/>
                                <w:shd w:val="clear" w:color="auto" w:fill="C2D69B" w:themeFill="accent3" w:themeFillTint="99"/>
                                <w:vAlign w:val="center"/>
                              </w:tcPr>
                              <w:p w:rsidR="0059403E" w:rsidRPr="00344311" w:rsidRDefault="0059403E" w:rsidP="00CD407B">
                                <w:pPr>
                                  <w:pStyle w:val="NoSpacing"/>
                                  <w:rPr>
                                    <w:rFonts w:asciiTheme="majorHAnsi" w:hAnsiTheme="majorHAnsi"/>
                                    <w:b/>
                                    <w:smallCaps/>
                                    <w:color w:val="FFFFFF" w:themeColor="background1"/>
                                    <w:sz w:val="28"/>
                                    <w:szCs w:val="28"/>
                                    <w:lang w:val="de-DE"/>
                                  </w:rPr>
                                </w:pPr>
                                <w:r w:rsidRPr="00344311">
                                  <w:rPr>
                                    <w:rFonts w:asciiTheme="majorHAnsi" w:hAnsiTheme="majorHAnsi"/>
                                    <w:b/>
                                    <w:smallCaps/>
                                    <w:sz w:val="32"/>
                                    <w:szCs w:val="28"/>
                                    <w:lang w:val="de-DE"/>
                                  </w:rPr>
                                  <w:t>SADRŽAJ</w:t>
                                </w:r>
                              </w:p>
                            </w:tc>
                          </w:tr>
                        </w:tbl>
                        <w:p w:rsidR="0059403E" w:rsidRPr="00BA0F3B" w:rsidRDefault="0059403E" w:rsidP="00DF47EF">
                          <w:pPr>
                            <w:pStyle w:val="NoSpacing"/>
                            <w:spacing w:line="14" w:lineRule="exact"/>
                            <w:jc w:val="center"/>
                            <w:rPr>
                              <w:lang w:val="de-DE"/>
                            </w:rPr>
                          </w:pPr>
                        </w:p>
                      </w:txbxContent>
                    </v:textbox>
                    <w10:wrap anchorx="page" anchory="page"/>
                  </v:rect>
                </w:pict>
              </mc:Fallback>
            </mc:AlternateContent>
          </w:r>
        </w:p>
        <w:p w:rsidR="004B3D57" w:rsidRDefault="004B3D57" w:rsidP="00DF47EF">
          <w:pPr>
            <w:spacing w:before="240" w:after="240" w:line="240" w:lineRule="auto"/>
            <w:jc w:val="both"/>
            <w:rPr>
              <w:rFonts w:ascii="Arial" w:hAnsi="Arial" w:cs="Arial"/>
              <w:sz w:val="24"/>
              <w:szCs w:val="24"/>
              <w:highlight w:val="yellow"/>
            </w:rPr>
          </w:pPr>
        </w:p>
        <w:p w:rsidR="003C1A08" w:rsidRPr="001F212B" w:rsidRDefault="003C1A08" w:rsidP="00DF47EF">
          <w:pPr>
            <w:spacing w:before="240" w:after="240" w:line="240" w:lineRule="auto"/>
            <w:jc w:val="both"/>
            <w:rPr>
              <w:rFonts w:ascii="Arial" w:hAnsi="Arial" w:cs="Arial"/>
              <w:sz w:val="24"/>
              <w:szCs w:val="24"/>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
            <w:gridCol w:w="7929"/>
            <w:gridCol w:w="785"/>
          </w:tblGrid>
          <w:tr w:rsidR="00DD4D51" w:rsidRPr="0055696A" w:rsidTr="003C1A08">
            <w:trPr>
              <w:trHeight w:val="624"/>
            </w:trPr>
            <w:tc>
              <w:tcPr>
                <w:tcW w:w="646" w:type="dxa"/>
                <w:vAlign w:val="center"/>
              </w:tcPr>
              <w:p w:rsidR="00DF47EF" w:rsidRPr="0055696A" w:rsidRDefault="00C34055" w:rsidP="00253056">
                <w:pPr>
                  <w:spacing w:before="120" w:after="120"/>
                  <w:jc w:val="center"/>
                  <w:rPr>
                    <w:rFonts w:asciiTheme="majorHAnsi" w:hAnsiTheme="majorHAnsi" w:cs="Arial"/>
                    <w:szCs w:val="24"/>
                  </w:rPr>
                </w:pPr>
                <w:r w:rsidRPr="0055696A">
                  <w:rPr>
                    <w:rFonts w:asciiTheme="majorHAnsi" w:hAnsiTheme="majorHAnsi" w:cs="Arial"/>
                    <w:szCs w:val="24"/>
                    <w:lang w:eastAsia="bs-Latn-BA"/>
                  </w:rPr>
                  <mc:AlternateContent>
                    <mc:Choice Requires="wps">
                      <w:drawing>
                        <wp:anchor distT="0" distB="0" distL="114300" distR="114300" simplePos="0" relativeHeight="251534848" behindDoc="0" locked="0" layoutInCell="1" allowOverlap="1" wp14:anchorId="3D76E28A" wp14:editId="14DDAF50">
                          <wp:simplePos x="0" y="0"/>
                          <wp:positionH relativeFrom="column">
                            <wp:posOffset>-20116800</wp:posOffset>
                          </wp:positionH>
                          <wp:positionV relativeFrom="paragraph">
                            <wp:posOffset>2353310</wp:posOffset>
                          </wp:positionV>
                          <wp:extent cx="349885" cy="3530600"/>
                          <wp:effectExtent l="0" t="0" r="12065" b="12700"/>
                          <wp:wrapNone/>
                          <wp:docPr id="22"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9885" cy="35306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307A65B5" id="Freeform 22" o:spid="_x0000_s1026" style="position:absolute;margin-left:-22in;margin-top:185.3pt;width:27.55pt;height:278pt;z-index:25153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40,1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" path="m,l,,1,79r2,80l12,317,23,476,39,634,58,792,83,948r24,138l135,1223r5,49l138,1262,105,1106,77,949,53,792,35,634,20,476,9,317,2,159,,79,,xe" fillcolor="#1f497d [3215]" strokecolor="#1f497d [3215]" strokeweight="0">
                          <v:path arrowok="t" o:connecttype="custom" o:connectlocs="0,0;0,0;2499,219275;7498,441325;29990,879874;57481,1321199;97468,1759749;144952,2198298;207432,2631296;267412,3014333;337389,3394594;349885,3530600;344887,3502844;262414,3069846;192437,2634072;132456,2198298;87471,1759749;49984,1321199;22493,879874;4998,441325;0,219275;0,0" o:connectangles="0,0,0,0,0,0,0,0,0,0,0,0,0,0,0,0,0,0,0,0,0,0"/>
                        </v:shape>
                      </w:pict>
                    </mc:Fallback>
                  </mc:AlternateContent>
                </w:r>
                <w:r w:rsidRPr="0055696A">
                  <w:rPr>
                    <w:rFonts w:asciiTheme="majorHAnsi" w:hAnsiTheme="majorHAnsi" w:cs="Arial"/>
                    <w:szCs w:val="24"/>
                    <w:lang w:eastAsia="bs-Latn-BA"/>
                  </w:rPr>
                  <mc:AlternateContent>
                    <mc:Choice Requires="wps">
                      <w:drawing>
                        <wp:anchor distT="0" distB="0" distL="114300" distR="114300" simplePos="0" relativeHeight="251454976" behindDoc="0" locked="0" layoutInCell="1" allowOverlap="1" wp14:anchorId="179B481D" wp14:editId="3B2A2EEB">
                          <wp:simplePos x="0" y="0"/>
                          <wp:positionH relativeFrom="column">
                            <wp:posOffset>-20116800</wp:posOffset>
                          </wp:positionH>
                          <wp:positionV relativeFrom="paragraph">
                            <wp:posOffset>7062470</wp:posOffset>
                          </wp:positionV>
                          <wp:extent cx="289560" cy="746125"/>
                          <wp:effectExtent l="0" t="0" r="15240" b="15875"/>
                          <wp:wrapNone/>
                          <wp:docPr id="21"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9560" cy="746125"/>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4F193614" id="Freeform 21" o:spid="_x0000_s1026" style="position:absolute;margin-left:-22in;margin-top:556.1pt;width:22.8pt;height:58.75pt;z-index:25145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16,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" path="m,l8,19,37,93r30,74l116,269r-8,l60,169,30,98,1,25,,xe" fillcolor="#1f497d [3215]" strokecolor="#1f497d [3215]" strokeweight="0">
                          <v:path arrowok="t" o:connecttype="custom" o:connectlocs="0,0;19970,52700;92360,257954;167246,463208;289560,746125;269590,746125;149772,468755;74886,271822;2496,69342;0,0" o:connectangles="0,0,0,0,0,0,0,0,0,0"/>
                        </v:shape>
                      </w:pict>
                    </mc:Fallback>
                  </mc:AlternateContent>
                </w:r>
                <w:r w:rsidRPr="0055696A">
                  <w:rPr>
                    <w:rFonts w:asciiTheme="majorHAnsi" w:hAnsiTheme="majorHAnsi" w:cs="Arial"/>
                    <w:szCs w:val="24"/>
                    <w:lang w:eastAsia="bs-Latn-BA"/>
                  </w:rPr>
                  <mc:AlternateContent>
                    <mc:Choice Requires="wps">
                      <w:drawing>
                        <wp:anchor distT="0" distB="0" distL="114300" distR="114300" simplePos="0" relativeHeight="251614720" behindDoc="0" locked="0" layoutInCell="1" allowOverlap="1" wp14:anchorId="5C56B18E" wp14:editId="04E679AB">
                          <wp:simplePos x="0" y="0"/>
                          <wp:positionH relativeFrom="column">
                            <wp:posOffset>-20116800</wp:posOffset>
                          </wp:positionH>
                          <wp:positionV relativeFrom="paragraph">
                            <wp:posOffset>4938395</wp:posOffset>
                          </wp:positionV>
                          <wp:extent cx="984885" cy="2125980"/>
                          <wp:effectExtent l="0" t="0" r="24765" b="26670"/>
                          <wp:wrapNone/>
                          <wp:docPr id="27"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84885" cy="2125980"/>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12B9810F" id="Freeform 27" o:spid="_x0000_s1026" style="position:absolute;margin-left:-22in;margin-top:388.85pt;width:77.55pt;height:167.4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39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" path="m394,r,l356,38,319,77r-35,40l249,160r-42,58l168,276r-37,63l98,402,69,467,45,535,26,604,14,673,7,746,6,766,,749r1,-5l7,673,21,603,40,533,65,466,94,400r33,-64l164,275r40,-60l248,158r34,-42l318,76,354,37,394,xe" fillcolor="#1f497d [3215]" strokecolor="#1f497d [3215]" strokeweight="0">
                          <v:path arrowok="t" o:connecttype="custom" o:connectlocs="984885,0;984885,0;889896,105466;797407,213708;709917,324725;622427,444069;517440,605044;419951,766019;327462,940871;244971,1115723;172480,1296126;112487,1484855;64992,1676360;34996,1867865;17498,2070471;14998,2125980;0,2078798;2500,2064921;17498,1867865;52494,1673585;99988,1479305;162481,1293351;234973,1110172;317463,932545;409952,763243;509940,596718;619928,438518;704918,321950;794907,210933;884897,102691;984885,0" o:connectangles="0,0,0,0,0,0,0,0,0,0,0,0,0,0,0,0,0,0,0,0,0,0,0,0,0,0,0,0,0,0,0"/>
                        </v:shape>
                      </w:pict>
                    </mc:Fallback>
                  </mc:AlternateContent>
                </w:r>
                <w:r w:rsidRPr="0055696A">
                  <w:rPr>
                    <w:rFonts w:asciiTheme="majorHAnsi" w:hAnsiTheme="majorHAnsi" w:cs="Arial"/>
                    <w:szCs w:val="24"/>
                    <w:lang w:eastAsia="bs-Latn-BA"/>
                  </w:rPr>
                  <mc:AlternateContent>
                    <mc:Choice Requires="wps">
                      <w:drawing>
                        <wp:anchor distT="0" distB="0" distL="114300" distR="114300" simplePos="0" relativeHeight="251695616" behindDoc="0" locked="0" layoutInCell="1" allowOverlap="1" wp14:anchorId="18D649E0" wp14:editId="6FDCC50E">
                          <wp:simplePos x="0" y="0"/>
                          <wp:positionH relativeFrom="column">
                            <wp:posOffset>-20116800</wp:posOffset>
                          </wp:positionH>
                          <wp:positionV relativeFrom="paragraph">
                            <wp:posOffset>4833620</wp:posOffset>
                          </wp:positionV>
                          <wp:extent cx="466725" cy="1864995"/>
                          <wp:effectExtent l="0" t="0" r="28575" b="20955"/>
                          <wp:wrapNone/>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6725" cy="186499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3FDEFA76" id="Freeform 7" o:spid="_x0000_s1026" style="position:absolute;margin-left:-22in;margin-top:380.6pt;width:36.75pt;height:146.8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5,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" path="m,l41,155,86,309r39,116l125,450,79,311,41,183,7,54,,xe" fillcolor="#1f497d [3215]" strokecolor="#1f497d [3215]" strokeweight="0">
                          <v:fill opacity="13107f"/>
                          <v:stroke opacity="13107f"/>
                          <v:path arrowok="t" o:connecttype="custom" o:connectlocs="0,0;153086,642387;321107,1280630;466725,1761384;466725,1864995;294970,1288919;153086,758431;26137,223799;0,0" o:connectangles="0,0,0,0,0,0,0,0,0"/>
                        </v:shape>
                      </w:pict>
                    </mc:Fallback>
                  </mc:AlternateContent>
                </w:r>
                <w:r w:rsidRPr="0055696A">
                  <w:rPr>
                    <w:rFonts w:asciiTheme="majorHAnsi" w:hAnsiTheme="majorHAnsi" w:cs="Arial"/>
                    <w:szCs w:val="24"/>
                    <w:lang w:eastAsia="bs-Latn-BA"/>
                  </w:rPr>
                  <mc:AlternateContent>
                    <mc:Choice Requires="wps">
                      <w:drawing>
                        <wp:anchor distT="0" distB="0" distL="114300" distR="114300" simplePos="0" relativeHeight="251779584" behindDoc="0" locked="0" layoutInCell="1" allowOverlap="1" wp14:anchorId="03808A26" wp14:editId="75408208">
                          <wp:simplePos x="0" y="0"/>
                          <wp:positionH relativeFrom="column">
                            <wp:posOffset>-20116800</wp:posOffset>
                          </wp:positionH>
                          <wp:positionV relativeFrom="paragraph">
                            <wp:posOffset>6671945</wp:posOffset>
                          </wp:positionV>
                          <wp:extent cx="440055" cy="1139825"/>
                          <wp:effectExtent l="0" t="0" r="17145" b="22225"/>
                          <wp:wrapNone/>
                          <wp:docPr id="15"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0055" cy="1139825"/>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4D54AEE5" id="Freeform 15" o:spid="_x0000_s1026" style="position:absolute;margin-left:-22in;margin-top:525.35pt;width:34.65pt;height:89.75pt;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18,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" path="m,l8,20,37,96r32,74l118,275r-9,l61,174,30,100,,26,,xe" fillcolor="#1f497d [3215]" strokecolor="#1f497d [3215]" strokeweight="0">
                          <v:fill opacity="13107f"/>
                          <v:stroke opacity="13107f"/>
                          <v:path arrowok="t" o:connecttype="custom" o:connectlocs="0,0;29834,82896;137983,397903;257320,704619;440055,1139825;406491,1139825;227486,721198;111878,414482;0,107765;0,0" o:connectangles="0,0,0,0,0,0,0,0,0,0"/>
                        </v:shape>
                      </w:pict>
                    </mc:Fallback>
                  </mc:AlternateContent>
                </w:r>
                <w:r w:rsidRPr="0055696A">
                  <w:rPr>
                    <w:rFonts w:asciiTheme="majorHAnsi" w:hAnsiTheme="majorHAnsi" w:cs="Arial"/>
                    <w:szCs w:val="24"/>
                    <w:lang w:eastAsia="bs-Latn-BA"/>
                  </w:rPr>
                  <mc:AlternateContent>
                    <mc:Choice Requires="wps">
                      <w:drawing>
                        <wp:anchor distT="0" distB="0" distL="114300" distR="114300" simplePos="0" relativeHeight="251859456" behindDoc="0" locked="0" layoutInCell="1" allowOverlap="1" wp14:anchorId="46C96FE1" wp14:editId="38D5F80F">
                          <wp:simplePos x="0" y="0"/>
                          <wp:positionH relativeFrom="column">
                            <wp:posOffset>-20116800</wp:posOffset>
                          </wp:positionH>
                          <wp:positionV relativeFrom="paragraph">
                            <wp:posOffset>4871720</wp:posOffset>
                          </wp:positionV>
                          <wp:extent cx="589915" cy="2665095"/>
                          <wp:effectExtent l="0" t="0" r="19685" b="20955"/>
                          <wp:wrapNone/>
                          <wp:docPr id="16"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9915" cy="2665095"/>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03974A37" id="Freeform 16" o:spid="_x0000_s1026" style="position:absolute;margin-left:-22in;margin-top:383.6pt;width:46.45pt;height:209.85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58,6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" path="m,l11,46r11,83l36,211r19,90l76,389r27,87l123,533r21,55l155,632r3,11l142,608,118,544,95,478,69,391,47,302,29,212,13,107,,xe" fillcolor="#1f497d [3215]" strokecolor="#1f497d [3215]" strokeweight="0">
                          <v:fill opacity="13107f"/>
                          <v:stroke opacity="13107f"/>
                          <v:path arrowok="t" o:connecttype="custom" o:connectlocs="0,0;41070,190660;82140,534677;134411,874549;205350,1247579;283757,1612320;384565,1972916;459238,2209169;537644,2437132;578714,2619502;589915,2665095;530177,2520028;440569,2254762;354696,1981206;257621,1620610;175481,1251724;108276,878694;48537,443492;0,0" o:connectangles="0,0,0,0,0,0,0,0,0,0,0,0,0,0,0,0,0,0,0"/>
                        </v:shape>
                      </w:pict>
                    </mc:Fallback>
                  </mc:AlternateContent>
                </w:r>
                <w:r w:rsidRPr="0055696A">
                  <w:rPr>
                    <w:rFonts w:asciiTheme="majorHAnsi" w:hAnsiTheme="majorHAnsi" w:cs="Arial"/>
                    <w:szCs w:val="24"/>
                    <w:lang w:eastAsia="bs-Latn-BA"/>
                  </w:rPr>
                  <mc:AlternateContent>
                    <mc:Choice Requires="wps">
                      <w:drawing>
                        <wp:anchor distT="0" distB="0" distL="114300" distR="114300" simplePos="0" relativeHeight="251939328" behindDoc="0" locked="0" layoutInCell="1" allowOverlap="1" wp14:anchorId="039A31D1" wp14:editId="4D75D4A6">
                          <wp:simplePos x="0" y="0"/>
                          <wp:positionH relativeFrom="column">
                            <wp:posOffset>-20116800</wp:posOffset>
                          </wp:positionH>
                          <wp:positionV relativeFrom="paragraph">
                            <wp:posOffset>3429000</wp:posOffset>
                          </wp:positionV>
                          <wp:extent cx="1500505" cy="3241040"/>
                          <wp:effectExtent l="0" t="0" r="23495" b="16510"/>
                          <wp:wrapNone/>
                          <wp:docPr id="1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00505" cy="3241040"/>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50666A78" id="Freeform 17" o:spid="_x0000_s1026" style="position:absolute;margin-left:-22in;margin-top:270pt;width:118.15pt;height:255.2pt;z-index:25193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402,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" path="m402,r,1l363,39,325,79r-35,42l255,164r-44,58l171,284r-38,62l100,411,71,478,45,546,27,617,13,689,7,761r,21l,765r1,-4l7,688,21,616,40,545,66,475,95,409r35,-66l167,281r42,-61l253,163r34,-43l324,78,362,38,402,xe" fillcolor="#1f497d [3215]" strokecolor="#1f497d [3215]" strokeweight="0">
                          <v:fill opacity="13107f"/>
                          <v:stroke opacity="13107f"/>
                          <v:path arrowok="t" o:connecttype="custom" o:connectlocs="1500505,0;1500505,4145;1354934,161638;1213095,327420;1082454,501491;951813,679707;787578,920091;638275,1177053;496436,1434015;373260,1703411;265015,1981096;167967,2262926;100780,2557189;48524,2855597;26128,3154004;26128,3241040;0,3170583;3733,3154004;26128,2851452;78385,2553044;149304,2258781;246352,1968662;354597,1695122;485238,1421581;623344,1164619;780113,911802;944348,675562;1071256,497346;1209362,323275;1351201,157493;1500505,0" o:connectangles="0,0,0,0,0,0,0,0,0,0,0,0,0,0,0,0,0,0,0,0,0,0,0,0,0,0,0,0,0,0,0"/>
                        </v:shape>
                      </w:pict>
                    </mc:Fallback>
                  </mc:AlternateContent>
                </w:r>
                <w:r w:rsidR="00DF47EF" w:rsidRPr="0055696A">
                  <w:rPr>
                    <w:rFonts w:asciiTheme="majorHAnsi" w:hAnsiTheme="majorHAnsi" w:cs="Arial"/>
                    <w:szCs w:val="24"/>
                  </w:rPr>
                  <w:t>1.</w:t>
                </w:r>
              </w:p>
            </w:tc>
            <w:tc>
              <w:tcPr>
                <w:tcW w:w="7929" w:type="dxa"/>
                <w:vAlign w:val="center"/>
              </w:tcPr>
              <w:p w:rsidR="00DF47EF" w:rsidRPr="0055696A" w:rsidRDefault="00DF47EF" w:rsidP="00B23F06">
                <w:pPr>
                  <w:spacing w:before="120" w:after="120"/>
                  <w:jc w:val="both"/>
                  <w:rPr>
                    <w:rFonts w:asciiTheme="majorHAnsi" w:hAnsiTheme="majorHAnsi" w:cs="Arial"/>
                    <w:szCs w:val="24"/>
                  </w:rPr>
                </w:pPr>
                <w:r w:rsidRPr="0055696A">
                  <w:rPr>
                    <w:rFonts w:asciiTheme="majorHAnsi" w:hAnsiTheme="majorHAnsi" w:cs="Arial"/>
                    <w:szCs w:val="24"/>
                  </w:rPr>
                  <w:t>UVOD</w:t>
                </w:r>
                <w:r w:rsidR="00253056" w:rsidRPr="0055696A">
                  <w:rPr>
                    <w:rFonts w:asciiTheme="majorHAnsi" w:hAnsiTheme="majorHAnsi" w:cs="Arial"/>
                    <w:szCs w:val="24"/>
                  </w:rPr>
                  <w:t xml:space="preserve"> ..................................................................</w:t>
                </w:r>
                <w:r w:rsidR="00BE1BC8" w:rsidRPr="0055696A">
                  <w:rPr>
                    <w:rFonts w:asciiTheme="majorHAnsi" w:hAnsiTheme="majorHAnsi" w:cs="Arial"/>
                    <w:szCs w:val="24"/>
                  </w:rPr>
                  <w:t>...........................................................</w:t>
                </w:r>
                <w:r w:rsidR="004C0301" w:rsidRPr="0055696A">
                  <w:rPr>
                    <w:rFonts w:asciiTheme="majorHAnsi" w:hAnsiTheme="majorHAnsi" w:cs="Arial"/>
                    <w:szCs w:val="24"/>
                  </w:rPr>
                  <w:t>..</w:t>
                </w:r>
                <w:r w:rsidR="00253056" w:rsidRPr="0055696A">
                  <w:rPr>
                    <w:rFonts w:asciiTheme="majorHAnsi" w:hAnsiTheme="majorHAnsi" w:cs="Arial"/>
                    <w:szCs w:val="24"/>
                  </w:rPr>
                  <w:t>..................</w:t>
                </w:r>
              </w:p>
            </w:tc>
            <w:tc>
              <w:tcPr>
                <w:tcW w:w="785" w:type="dxa"/>
                <w:vAlign w:val="center"/>
              </w:tcPr>
              <w:p w:rsidR="00DF47EF" w:rsidRPr="0055696A" w:rsidRDefault="00253056" w:rsidP="00253056">
                <w:pPr>
                  <w:spacing w:before="120" w:after="120"/>
                  <w:jc w:val="right"/>
                  <w:rPr>
                    <w:rFonts w:asciiTheme="majorHAnsi" w:hAnsiTheme="majorHAnsi" w:cs="Arial"/>
                    <w:szCs w:val="24"/>
                    <w:highlight w:val="magenta"/>
                  </w:rPr>
                </w:pPr>
                <w:r w:rsidRPr="0055696A">
                  <w:rPr>
                    <w:rFonts w:asciiTheme="majorHAnsi" w:hAnsiTheme="majorHAnsi" w:cs="Arial"/>
                    <w:szCs w:val="24"/>
                  </w:rPr>
                  <w:t>2</w:t>
                </w:r>
              </w:p>
            </w:tc>
          </w:tr>
          <w:tr w:rsidR="00231623" w:rsidRPr="0055696A" w:rsidTr="003C1A08">
            <w:trPr>
              <w:trHeight w:val="624"/>
            </w:trPr>
            <w:tc>
              <w:tcPr>
                <w:tcW w:w="646" w:type="dxa"/>
                <w:vAlign w:val="center"/>
              </w:tcPr>
              <w:p w:rsidR="00231623" w:rsidRPr="0055696A" w:rsidRDefault="00231623" w:rsidP="00253056">
                <w:pPr>
                  <w:spacing w:before="120" w:after="120"/>
                  <w:jc w:val="center"/>
                  <w:rPr>
                    <w:rFonts w:asciiTheme="majorHAnsi" w:hAnsiTheme="majorHAnsi" w:cs="Arial"/>
                    <w:szCs w:val="24"/>
                  </w:rPr>
                </w:pPr>
                <w:r>
                  <w:rPr>
                    <w:rFonts w:asciiTheme="majorHAnsi" w:hAnsiTheme="majorHAnsi" w:cs="Arial"/>
                    <w:szCs w:val="24"/>
                  </w:rPr>
                  <w:t>2.</w:t>
                </w:r>
              </w:p>
            </w:tc>
            <w:tc>
              <w:tcPr>
                <w:tcW w:w="7929" w:type="dxa"/>
                <w:vAlign w:val="center"/>
              </w:tcPr>
              <w:p w:rsidR="00231623" w:rsidRPr="0055696A" w:rsidRDefault="00231623" w:rsidP="005E7F90">
                <w:pPr>
                  <w:spacing w:before="120" w:after="120"/>
                  <w:jc w:val="both"/>
                  <w:rPr>
                    <w:rFonts w:asciiTheme="majorHAnsi" w:hAnsiTheme="majorHAnsi" w:cs="Arial"/>
                    <w:szCs w:val="24"/>
                  </w:rPr>
                </w:pPr>
                <w:r>
                  <w:rPr>
                    <w:rFonts w:asciiTheme="majorHAnsi" w:hAnsiTheme="majorHAnsi" w:cs="Arial"/>
                    <w:szCs w:val="24"/>
                  </w:rPr>
                  <w:t>MAKROEKONOMSKI POKAZATELJI ....................................................................................</w:t>
                </w:r>
              </w:p>
            </w:tc>
            <w:tc>
              <w:tcPr>
                <w:tcW w:w="785" w:type="dxa"/>
                <w:vAlign w:val="center"/>
              </w:tcPr>
              <w:p w:rsidR="00231623" w:rsidRPr="0055696A" w:rsidRDefault="000F5238" w:rsidP="00253056">
                <w:pPr>
                  <w:spacing w:before="120" w:after="120"/>
                  <w:jc w:val="right"/>
                  <w:rPr>
                    <w:rFonts w:asciiTheme="majorHAnsi" w:hAnsiTheme="majorHAnsi" w:cs="Arial"/>
                    <w:szCs w:val="24"/>
                  </w:rPr>
                </w:pPr>
                <w:r>
                  <w:rPr>
                    <w:rFonts w:asciiTheme="majorHAnsi" w:hAnsiTheme="majorHAnsi" w:cs="Arial"/>
                    <w:szCs w:val="24"/>
                  </w:rPr>
                  <w:t>4</w:t>
                </w:r>
              </w:p>
            </w:tc>
          </w:tr>
          <w:tr w:rsidR="00DD4D51" w:rsidRPr="0055696A" w:rsidTr="003C1A08">
            <w:trPr>
              <w:trHeight w:val="624"/>
            </w:trPr>
            <w:tc>
              <w:tcPr>
                <w:tcW w:w="646" w:type="dxa"/>
                <w:vAlign w:val="center"/>
              </w:tcPr>
              <w:p w:rsidR="00DF47EF" w:rsidRPr="0055696A" w:rsidRDefault="000F5238" w:rsidP="00253056">
                <w:pPr>
                  <w:spacing w:before="120" w:after="120"/>
                  <w:jc w:val="center"/>
                  <w:rPr>
                    <w:rFonts w:asciiTheme="majorHAnsi" w:hAnsiTheme="majorHAnsi" w:cs="Arial"/>
                    <w:szCs w:val="24"/>
                  </w:rPr>
                </w:pPr>
                <w:r>
                  <w:rPr>
                    <w:rFonts w:asciiTheme="majorHAnsi" w:hAnsiTheme="majorHAnsi" w:cs="Arial"/>
                    <w:szCs w:val="24"/>
                  </w:rPr>
                  <w:t>3</w:t>
                </w:r>
                <w:r w:rsidR="00DF47EF" w:rsidRPr="0055696A">
                  <w:rPr>
                    <w:rFonts w:asciiTheme="majorHAnsi" w:hAnsiTheme="majorHAnsi" w:cs="Arial"/>
                    <w:szCs w:val="24"/>
                  </w:rPr>
                  <w:t>.</w:t>
                </w:r>
              </w:p>
            </w:tc>
            <w:tc>
              <w:tcPr>
                <w:tcW w:w="7929" w:type="dxa"/>
                <w:vAlign w:val="center"/>
              </w:tcPr>
              <w:p w:rsidR="00DF47EF" w:rsidRPr="0055696A" w:rsidRDefault="00EC1D98" w:rsidP="005E7F90">
                <w:pPr>
                  <w:spacing w:before="120" w:after="120"/>
                  <w:jc w:val="both"/>
                  <w:rPr>
                    <w:rFonts w:asciiTheme="majorHAnsi" w:hAnsiTheme="majorHAnsi" w:cs="Arial"/>
                    <w:szCs w:val="24"/>
                  </w:rPr>
                </w:pPr>
                <w:r w:rsidRPr="0055696A">
                  <w:rPr>
                    <w:rFonts w:asciiTheme="majorHAnsi" w:hAnsiTheme="majorHAnsi" w:cs="Arial"/>
                    <w:szCs w:val="24"/>
                  </w:rPr>
                  <w:t xml:space="preserve">STRUKTURA </w:t>
                </w:r>
                <w:r w:rsidR="00871C94" w:rsidRPr="0055696A">
                  <w:rPr>
                    <w:rFonts w:asciiTheme="majorHAnsi" w:hAnsiTheme="majorHAnsi" w:cs="Arial"/>
                    <w:szCs w:val="24"/>
                  </w:rPr>
                  <w:t>PRIJEDLOGA</w:t>
                </w:r>
                <w:r w:rsidR="002873EC" w:rsidRPr="0055696A">
                  <w:rPr>
                    <w:rFonts w:asciiTheme="majorHAnsi" w:hAnsiTheme="majorHAnsi" w:cs="Arial"/>
                    <w:szCs w:val="24"/>
                  </w:rPr>
                  <w:t xml:space="preserve"> ODLUKE O IZMJENAMA I DOPUNAMA</w:t>
                </w:r>
                <w:r w:rsidR="00CC0725" w:rsidRPr="0055696A">
                  <w:rPr>
                    <w:rFonts w:asciiTheme="majorHAnsi" w:hAnsiTheme="majorHAnsi" w:cs="Arial"/>
                    <w:szCs w:val="24"/>
                  </w:rPr>
                  <w:t xml:space="preserve"> </w:t>
                </w:r>
                <w:r w:rsidR="009D0F02" w:rsidRPr="0055696A">
                  <w:rPr>
                    <w:rFonts w:asciiTheme="majorHAnsi" w:hAnsiTheme="majorHAnsi" w:cs="Arial"/>
                    <w:szCs w:val="24"/>
                  </w:rPr>
                  <w:t>BUDŽETA</w:t>
                </w:r>
                <w:r w:rsidR="00CC0725" w:rsidRPr="0055696A">
                  <w:rPr>
                    <w:rFonts w:asciiTheme="majorHAnsi" w:hAnsiTheme="majorHAnsi" w:cs="Arial"/>
                    <w:szCs w:val="24"/>
                  </w:rPr>
                  <w:t xml:space="preserve"> F</w:t>
                </w:r>
                <w:r w:rsidR="002873EC" w:rsidRPr="0055696A">
                  <w:rPr>
                    <w:rFonts w:asciiTheme="majorHAnsi" w:hAnsiTheme="majorHAnsi" w:cs="Arial"/>
                    <w:szCs w:val="24"/>
                  </w:rPr>
                  <w:t xml:space="preserve">EDERACIJE </w:t>
                </w:r>
                <w:r w:rsidR="00CC0725" w:rsidRPr="0055696A">
                  <w:rPr>
                    <w:rFonts w:asciiTheme="majorHAnsi" w:hAnsiTheme="majorHAnsi" w:cs="Arial"/>
                    <w:szCs w:val="24"/>
                  </w:rPr>
                  <w:t>BIH</w:t>
                </w:r>
                <w:r w:rsidR="009D0F02" w:rsidRPr="0055696A">
                  <w:rPr>
                    <w:rFonts w:asciiTheme="majorHAnsi" w:hAnsiTheme="majorHAnsi" w:cs="Arial"/>
                    <w:szCs w:val="24"/>
                  </w:rPr>
                  <w:t xml:space="preserve"> ZA 201</w:t>
                </w:r>
                <w:r w:rsidR="005E7F90" w:rsidRPr="0055696A">
                  <w:rPr>
                    <w:rFonts w:asciiTheme="majorHAnsi" w:hAnsiTheme="majorHAnsi" w:cs="Arial"/>
                    <w:szCs w:val="24"/>
                  </w:rPr>
                  <w:t>6</w:t>
                </w:r>
                <w:r w:rsidR="00DF47EF" w:rsidRPr="0055696A">
                  <w:rPr>
                    <w:rFonts w:asciiTheme="majorHAnsi" w:hAnsiTheme="majorHAnsi" w:cs="Arial"/>
                    <w:szCs w:val="24"/>
                  </w:rPr>
                  <w:t>. GODINU</w:t>
                </w:r>
                <w:r w:rsidR="00253056" w:rsidRPr="0055696A">
                  <w:rPr>
                    <w:rFonts w:asciiTheme="majorHAnsi" w:hAnsiTheme="majorHAnsi" w:cs="Arial"/>
                    <w:szCs w:val="24"/>
                  </w:rPr>
                  <w:t xml:space="preserve"> ...</w:t>
                </w:r>
                <w:r w:rsidR="00871C94" w:rsidRPr="0055696A">
                  <w:rPr>
                    <w:rFonts w:asciiTheme="majorHAnsi" w:hAnsiTheme="majorHAnsi" w:cs="Arial"/>
                    <w:szCs w:val="24"/>
                  </w:rPr>
                  <w:t>.</w:t>
                </w:r>
                <w:r w:rsidR="004C0301" w:rsidRPr="0055696A">
                  <w:rPr>
                    <w:rFonts w:asciiTheme="majorHAnsi" w:hAnsiTheme="majorHAnsi" w:cs="Arial"/>
                    <w:szCs w:val="24"/>
                  </w:rPr>
                  <w:t>.</w:t>
                </w:r>
                <w:r w:rsidR="0005292C" w:rsidRPr="0055696A">
                  <w:rPr>
                    <w:rFonts w:asciiTheme="majorHAnsi" w:hAnsiTheme="majorHAnsi" w:cs="Arial"/>
                    <w:szCs w:val="24"/>
                  </w:rPr>
                  <w:t>..</w:t>
                </w:r>
                <w:r w:rsidRPr="0055696A">
                  <w:rPr>
                    <w:rFonts w:asciiTheme="majorHAnsi" w:hAnsiTheme="majorHAnsi" w:cs="Arial"/>
                    <w:szCs w:val="24"/>
                  </w:rPr>
                  <w:t>....</w:t>
                </w:r>
                <w:r w:rsidR="00253056" w:rsidRPr="0055696A">
                  <w:rPr>
                    <w:rFonts w:asciiTheme="majorHAnsi" w:hAnsiTheme="majorHAnsi" w:cs="Arial"/>
                    <w:szCs w:val="24"/>
                  </w:rPr>
                  <w:t>.</w:t>
                </w:r>
                <w:r w:rsidR="002873EC" w:rsidRPr="0055696A">
                  <w:rPr>
                    <w:rFonts w:asciiTheme="majorHAnsi" w:hAnsiTheme="majorHAnsi" w:cs="Arial"/>
                    <w:szCs w:val="24"/>
                  </w:rPr>
                  <w:t>..........................</w:t>
                </w:r>
                <w:r w:rsidR="00BE1BC8" w:rsidRPr="0055696A">
                  <w:rPr>
                    <w:rFonts w:asciiTheme="majorHAnsi" w:hAnsiTheme="majorHAnsi" w:cs="Arial"/>
                    <w:szCs w:val="24"/>
                  </w:rPr>
                  <w:t>..............................................</w:t>
                </w:r>
              </w:p>
            </w:tc>
            <w:tc>
              <w:tcPr>
                <w:tcW w:w="785" w:type="dxa"/>
                <w:vAlign w:val="center"/>
              </w:tcPr>
              <w:p w:rsidR="00DF47EF" w:rsidRPr="0055696A" w:rsidRDefault="000F5238" w:rsidP="00253056">
                <w:pPr>
                  <w:spacing w:before="120" w:after="120"/>
                  <w:jc w:val="right"/>
                  <w:rPr>
                    <w:rFonts w:asciiTheme="majorHAnsi" w:hAnsiTheme="majorHAnsi" w:cs="Arial"/>
                    <w:szCs w:val="24"/>
                    <w:highlight w:val="magenta"/>
                  </w:rPr>
                </w:pPr>
                <w:r w:rsidRPr="000F5238">
                  <w:rPr>
                    <w:rFonts w:asciiTheme="majorHAnsi" w:hAnsiTheme="majorHAnsi" w:cs="Arial"/>
                    <w:szCs w:val="24"/>
                  </w:rPr>
                  <w:t>6</w:t>
                </w:r>
              </w:p>
            </w:tc>
          </w:tr>
          <w:tr w:rsidR="00DD4D51" w:rsidRPr="0055696A" w:rsidTr="003C1A08">
            <w:trPr>
              <w:trHeight w:val="624"/>
            </w:trPr>
            <w:tc>
              <w:tcPr>
                <w:tcW w:w="646" w:type="dxa"/>
                <w:vAlign w:val="center"/>
              </w:tcPr>
              <w:p w:rsidR="00DF47EF" w:rsidRPr="0055696A" w:rsidRDefault="000F5238" w:rsidP="00253056">
                <w:pPr>
                  <w:spacing w:before="120" w:after="120"/>
                  <w:jc w:val="center"/>
                  <w:rPr>
                    <w:rFonts w:asciiTheme="majorHAnsi" w:hAnsiTheme="majorHAnsi" w:cs="Arial"/>
                    <w:szCs w:val="24"/>
                  </w:rPr>
                </w:pPr>
                <w:r>
                  <w:rPr>
                    <w:rFonts w:asciiTheme="majorHAnsi" w:hAnsiTheme="majorHAnsi" w:cs="Arial"/>
                    <w:szCs w:val="24"/>
                  </w:rPr>
                  <w:t>4</w:t>
                </w:r>
                <w:r w:rsidR="00DF47EF" w:rsidRPr="0055696A">
                  <w:rPr>
                    <w:rFonts w:asciiTheme="majorHAnsi" w:hAnsiTheme="majorHAnsi" w:cs="Arial"/>
                    <w:szCs w:val="24"/>
                  </w:rPr>
                  <w:t>.</w:t>
                </w:r>
              </w:p>
            </w:tc>
            <w:tc>
              <w:tcPr>
                <w:tcW w:w="7929" w:type="dxa"/>
                <w:vAlign w:val="center"/>
              </w:tcPr>
              <w:p w:rsidR="00DF47EF" w:rsidRPr="0055696A" w:rsidRDefault="00DF47EF" w:rsidP="00253056">
                <w:pPr>
                  <w:spacing w:before="120" w:after="120"/>
                  <w:jc w:val="both"/>
                  <w:rPr>
                    <w:rFonts w:asciiTheme="majorHAnsi" w:hAnsiTheme="majorHAnsi" w:cs="Arial"/>
                    <w:szCs w:val="24"/>
                  </w:rPr>
                </w:pPr>
                <w:r w:rsidRPr="0055696A">
                  <w:rPr>
                    <w:rFonts w:asciiTheme="majorHAnsi" w:hAnsiTheme="majorHAnsi" w:cs="Arial"/>
                    <w:szCs w:val="24"/>
                  </w:rPr>
                  <w:t>PRIHODI I PRIMICI</w:t>
                </w:r>
                <w:r w:rsidR="00253056" w:rsidRPr="0055696A">
                  <w:rPr>
                    <w:rFonts w:asciiTheme="majorHAnsi" w:hAnsiTheme="majorHAnsi" w:cs="Arial"/>
                    <w:szCs w:val="24"/>
                  </w:rPr>
                  <w:t xml:space="preserve"> ..................</w:t>
                </w:r>
                <w:r w:rsidR="004C0301" w:rsidRPr="0055696A">
                  <w:rPr>
                    <w:rFonts w:asciiTheme="majorHAnsi" w:hAnsiTheme="majorHAnsi" w:cs="Arial"/>
                    <w:szCs w:val="24"/>
                  </w:rPr>
                  <w:t>.................</w:t>
                </w:r>
                <w:r w:rsidR="00253056" w:rsidRPr="0055696A">
                  <w:rPr>
                    <w:rFonts w:asciiTheme="majorHAnsi" w:hAnsiTheme="majorHAnsi" w:cs="Arial"/>
                    <w:szCs w:val="24"/>
                  </w:rPr>
                  <w:t>.................................................</w:t>
                </w:r>
                <w:r w:rsidR="00BE1BC8" w:rsidRPr="0055696A">
                  <w:rPr>
                    <w:rFonts w:asciiTheme="majorHAnsi" w:hAnsiTheme="majorHAnsi" w:cs="Arial"/>
                    <w:szCs w:val="24"/>
                  </w:rPr>
                  <w:t>..................................</w:t>
                </w:r>
              </w:p>
            </w:tc>
            <w:tc>
              <w:tcPr>
                <w:tcW w:w="785" w:type="dxa"/>
                <w:vAlign w:val="center"/>
              </w:tcPr>
              <w:p w:rsidR="00DF47EF" w:rsidRPr="0055696A" w:rsidRDefault="000F5238" w:rsidP="00253056">
                <w:pPr>
                  <w:spacing w:before="120" w:after="120"/>
                  <w:jc w:val="right"/>
                  <w:rPr>
                    <w:rFonts w:asciiTheme="majorHAnsi" w:hAnsiTheme="majorHAnsi" w:cs="Arial"/>
                    <w:szCs w:val="24"/>
                    <w:highlight w:val="magenta"/>
                  </w:rPr>
                </w:pPr>
                <w:r>
                  <w:rPr>
                    <w:rFonts w:asciiTheme="majorHAnsi" w:hAnsiTheme="majorHAnsi" w:cs="Arial"/>
                    <w:szCs w:val="24"/>
                  </w:rPr>
                  <w:t>9</w:t>
                </w:r>
              </w:p>
            </w:tc>
          </w:tr>
          <w:tr w:rsidR="00DD4D51" w:rsidRPr="0055696A" w:rsidTr="003C1A08">
            <w:trPr>
              <w:trHeight w:val="624"/>
            </w:trPr>
            <w:tc>
              <w:tcPr>
                <w:tcW w:w="646" w:type="dxa"/>
                <w:vAlign w:val="center"/>
              </w:tcPr>
              <w:p w:rsidR="00DF47EF" w:rsidRPr="0055696A" w:rsidRDefault="00DF47EF" w:rsidP="00253056">
                <w:pPr>
                  <w:spacing w:before="120" w:after="120"/>
                  <w:jc w:val="center"/>
                  <w:rPr>
                    <w:rFonts w:asciiTheme="majorHAnsi" w:hAnsiTheme="majorHAnsi" w:cs="Arial"/>
                    <w:szCs w:val="24"/>
                  </w:rPr>
                </w:pPr>
              </w:p>
            </w:tc>
            <w:tc>
              <w:tcPr>
                <w:tcW w:w="7929" w:type="dxa"/>
                <w:vAlign w:val="center"/>
              </w:tcPr>
              <w:p w:rsidR="00DF47EF" w:rsidRPr="0055696A" w:rsidRDefault="00DF47EF" w:rsidP="00253056">
                <w:pPr>
                  <w:spacing w:before="120" w:after="120"/>
                  <w:jc w:val="both"/>
                  <w:rPr>
                    <w:rFonts w:asciiTheme="majorHAnsi" w:hAnsiTheme="majorHAnsi" w:cs="Arial"/>
                    <w:szCs w:val="24"/>
                  </w:rPr>
                </w:pPr>
                <w:r w:rsidRPr="0055696A">
                  <w:rPr>
                    <w:rFonts w:asciiTheme="majorHAnsi" w:hAnsiTheme="majorHAnsi" w:cs="Arial"/>
                    <w:szCs w:val="24"/>
                  </w:rPr>
                  <w:t>3.1. Struktura prihoda i primitaka</w:t>
                </w:r>
                <w:r w:rsidR="00253056" w:rsidRPr="0055696A">
                  <w:rPr>
                    <w:rFonts w:asciiTheme="majorHAnsi" w:hAnsiTheme="majorHAnsi" w:cs="Arial"/>
                    <w:szCs w:val="24"/>
                  </w:rPr>
                  <w:t xml:space="preserve"> ............................</w:t>
                </w:r>
                <w:r w:rsidR="004C0301" w:rsidRPr="0055696A">
                  <w:rPr>
                    <w:rFonts w:asciiTheme="majorHAnsi" w:hAnsiTheme="majorHAnsi" w:cs="Arial"/>
                    <w:szCs w:val="24"/>
                  </w:rPr>
                  <w:t>......................</w:t>
                </w:r>
                <w:r w:rsidR="00253056" w:rsidRPr="0055696A">
                  <w:rPr>
                    <w:rFonts w:asciiTheme="majorHAnsi" w:hAnsiTheme="majorHAnsi" w:cs="Arial"/>
                    <w:szCs w:val="24"/>
                  </w:rPr>
                  <w:t>..............</w:t>
                </w:r>
                <w:r w:rsidR="00BE1BC8" w:rsidRPr="0055696A">
                  <w:rPr>
                    <w:rFonts w:asciiTheme="majorHAnsi" w:hAnsiTheme="majorHAnsi" w:cs="Arial"/>
                    <w:szCs w:val="24"/>
                  </w:rPr>
                  <w:t>........................</w:t>
                </w:r>
              </w:p>
            </w:tc>
            <w:tc>
              <w:tcPr>
                <w:tcW w:w="785" w:type="dxa"/>
                <w:vAlign w:val="center"/>
              </w:tcPr>
              <w:p w:rsidR="00DF47EF" w:rsidRPr="0055696A" w:rsidRDefault="000F5238" w:rsidP="00253056">
                <w:pPr>
                  <w:spacing w:before="120" w:after="120"/>
                  <w:jc w:val="right"/>
                  <w:rPr>
                    <w:rFonts w:asciiTheme="majorHAnsi" w:hAnsiTheme="majorHAnsi" w:cs="Arial"/>
                    <w:szCs w:val="24"/>
                    <w:highlight w:val="magenta"/>
                  </w:rPr>
                </w:pPr>
                <w:r>
                  <w:rPr>
                    <w:rFonts w:asciiTheme="majorHAnsi" w:hAnsiTheme="majorHAnsi" w:cs="Arial"/>
                    <w:szCs w:val="24"/>
                  </w:rPr>
                  <w:t>10</w:t>
                </w:r>
              </w:p>
            </w:tc>
          </w:tr>
          <w:tr w:rsidR="00DD4D51" w:rsidRPr="0055696A" w:rsidTr="003C1A08">
            <w:trPr>
              <w:trHeight w:val="624"/>
            </w:trPr>
            <w:tc>
              <w:tcPr>
                <w:tcW w:w="646" w:type="dxa"/>
                <w:vAlign w:val="center"/>
              </w:tcPr>
              <w:p w:rsidR="00DF47EF" w:rsidRPr="0055696A" w:rsidRDefault="000F5238" w:rsidP="00253056">
                <w:pPr>
                  <w:spacing w:before="120" w:after="120"/>
                  <w:jc w:val="center"/>
                  <w:rPr>
                    <w:rFonts w:asciiTheme="majorHAnsi" w:hAnsiTheme="majorHAnsi" w:cs="Arial"/>
                    <w:szCs w:val="24"/>
                  </w:rPr>
                </w:pPr>
                <w:r>
                  <w:rPr>
                    <w:rFonts w:asciiTheme="majorHAnsi" w:hAnsiTheme="majorHAnsi" w:cs="Arial"/>
                    <w:szCs w:val="24"/>
                  </w:rPr>
                  <w:t>5</w:t>
                </w:r>
                <w:r w:rsidR="00DF47EF" w:rsidRPr="0055696A">
                  <w:rPr>
                    <w:rFonts w:asciiTheme="majorHAnsi" w:hAnsiTheme="majorHAnsi" w:cs="Arial"/>
                    <w:szCs w:val="24"/>
                  </w:rPr>
                  <w:t>.</w:t>
                </w:r>
              </w:p>
            </w:tc>
            <w:tc>
              <w:tcPr>
                <w:tcW w:w="7929" w:type="dxa"/>
                <w:vAlign w:val="center"/>
              </w:tcPr>
              <w:p w:rsidR="00DF47EF" w:rsidRPr="0055696A" w:rsidRDefault="00DF47EF" w:rsidP="00253056">
                <w:pPr>
                  <w:spacing w:before="120" w:after="120"/>
                  <w:jc w:val="both"/>
                  <w:rPr>
                    <w:rFonts w:asciiTheme="majorHAnsi" w:hAnsiTheme="majorHAnsi" w:cs="Arial"/>
                    <w:szCs w:val="24"/>
                  </w:rPr>
                </w:pPr>
                <w:r w:rsidRPr="0055696A">
                  <w:rPr>
                    <w:rFonts w:asciiTheme="majorHAnsi" w:hAnsiTheme="majorHAnsi" w:cs="Arial"/>
                    <w:szCs w:val="24"/>
                  </w:rPr>
                  <w:t>RASHODI I IZDACI</w:t>
                </w:r>
                <w:r w:rsidR="00253056" w:rsidRPr="0055696A">
                  <w:rPr>
                    <w:rFonts w:asciiTheme="majorHAnsi" w:hAnsiTheme="majorHAnsi" w:cs="Arial"/>
                    <w:szCs w:val="24"/>
                  </w:rPr>
                  <w:t xml:space="preserve"> ..........................................</w:t>
                </w:r>
                <w:r w:rsidR="00B23F06" w:rsidRPr="0055696A">
                  <w:rPr>
                    <w:rFonts w:asciiTheme="majorHAnsi" w:hAnsiTheme="majorHAnsi" w:cs="Arial"/>
                    <w:szCs w:val="24"/>
                  </w:rPr>
                  <w:t>....</w:t>
                </w:r>
                <w:r w:rsidR="004C0301" w:rsidRPr="0055696A">
                  <w:rPr>
                    <w:rFonts w:asciiTheme="majorHAnsi" w:hAnsiTheme="majorHAnsi" w:cs="Arial"/>
                    <w:szCs w:val="24"/>
                  </w:rPr>
                  <w:t>............</w:t>
                </w:r>
                <w:r w:rsidR="00253056" w:rsidRPr="0055696A">
                  <w:rPr>
                    <w:rFonts w:asciiTheme="majorHAnsi" w:hAnsiTheme="majorHAnsi" w:cs="Arial"/>
                    <w:szCs w:val="24"/>
                  </w:rPr>
                  <w:t>..........................</w:t>
                </w:r>
                <w:r w:rsidR="00BE1BC8" w:rsidRPr="0055696A">
                  <w:rPr>
                    <w:rFonts w:asciiTheme="majorHAnsi" w:hAnsiTheme="majorHAnsi" w:cs="Arial"/>
                    <w:szCs w:val="24"/>
                  </w:rPr>
                  <w:t>...................................</w:t>
                </w:r>
              </w:p>
            </w:tc>
            <w:tc>
              <w:tcPr>
                <w:tcW w:w="785" w:type="dxa"/>
                <w:vAlign w:val="center"/>
              </w:tcPr>
              <w:p w:rsidR="00DF47EF" w:rsidRPr="0055696A" w:rsidRDefault="000F5238" w:rsidP="00253056">
                <w:pPr>
                  <w:spacing w:before="120" w:after="120"/>
                  <w:jc w:val="right"/>
                  <w:rPr>
                    <w:rFonts w:asciiTheme="majorHAnsi" w:hAnsiTheme="majorHAnsi" w:cs="Arial"/>
                    <w:szCs w:val="24"/>
                    <w:highlight w:val="magenta"/>
                  </w:rPr>
                </w:pPr>
                <w:r>
                  <w:rPr>
                    <w:rFonts w:asciiTheme="majorHAnsi" w:hAnsiTheme="majorHAnsi" w:cs="Arial"/>
                    <w:szCs w:val="24"/>
                  </w:rPr>
                  <w:t>13</w:t>
                </w:r>
              </w:p>
            </w:tc>
          </w:tr>
          <w:tr w:rsidR="00DD4D51" w:rsidRPr="0055696A" w:rsidTr="003C1A08">
            <w:trPr>
              <w:trHeight w:val="624"/>
            </w:trPr>
            <w:tc>
              <w:tcPr>
                <w:tcW w:w="646" w:type="dxa"/>
                <w:vAlign w:val="center"/>
              </w:tcPr>
              <w:p w:rsidR="00DF47EF" w:rsidRPr="0055696A" w:rsidRDefault="00DF47EF" w:rsidP="00253056">
                <w:pPr>
                  <w:spacing w:before="120" w:after="120"/>
                  <w:jc w:val="center"/>
                  <w:rPr>
                    <w:rFonts w:asciiTheme="majorHAnsi" w:hAnsiTheme="majorHAnsi" w:cs="Arial"/>
                    <w:szCs w:val="24"/>
                  </w:rPr>
                </w:pPr>
              </w:p>
            </w:tc>
            <w:tc>
              <w:tcPr>
                <w:tcW w:w="7929" w:type="dxa"/>
                <w:vAlign w:val="center"/>
              </w:tcPr>
              <w:p w:rsidR="00DF47EF" w:rsidRPr="0055696A" w:rsidRDefault="00DF47EF" w:rsidP="00253056">
                <w:pPr>
                  <w:spacing w:before="120" w:after="120"/>
                  <w:jc w:val="both"/>
                  <w:rPr>
                    <w:rFonts w:asciiTheme="majorHAnsi" w:hAnsiTheme="majorHAnsi" w:cs="Arial"/>
                    <w:szCs w:val="24"/>
                  </w:rPr>
                </w:pPr>
                <w:r w:rsidRPr="0055696A">
                  <w:rPr>
                    <w:rFonts w:asciiTheme="majorHAnsi" w:hAnsiTheme="majorHAnsi" w:cs="Arial"/>
                    <w:szCs w:val="24"/>
                  </w:rPr>
                  <w:t>4.1. Struktura rashoda i izdataka</w:t>
                </w:r>
                <w:r w:rsidR="00253056" w:rsidRPr="0055696A">
                  <w:rPr>
                    <w:rFonts w:asciiTheme="majorHAnsi" w:hAnsiTheme="majorHAnsi" w:cs="Arial"/>
                    <w:szCs w:val="24"/>
                  </w:rPr>
                  <w:t xml:space="preserve"> ...........................</w:t>
                </w:r>
                <w:r w:rsidR="004C0301" w:rsidRPr="0055696A">
                  <w:rPr>
                    <w:rFonts w:asciiTheme="majorHAnsi" w:hAnsiTheme="majorHAnsi" w:cs="Arial"/>
                    <w:szCs w:val="24"/>
                  </w:rPr>
                  <w:t>....................</w:t>
                </w:r>
                <w:r w:rsidR="00253056" w:rsidRPr="0055696A">
                  <w:rPr>
                    <w:rFonts w:asciiTheme="majorHAnsi" w:hAnsiTheme="majorHAnsi" w:cs="Arial"/>
                    <w:szCs w:val="24"/>
                  </w:rPr>
                  <w:t>.................</w:t>
                </w:r>
                <w:r w:rsidR="00BE1BC8" w:rsidRPr="0055696A">
                  <w:rPr>
                    <w:rFonts w:asciiTheme="majorHAnsi" w:hAnsiTheme="majorHAnsi" w:cs="Arial"/>
                    <w:szCs w:val="24"/>
                  </w:rPr>
                  <w:t>..........................</w:t>
                </w:r>
              </w:p>
            </w:tc>
            <w:tc>
              <w:tcPr>
                <w:tcW w:w="785" w:type="dxa"/>
                <w:vAlign w:val="center"/>
              </w:tcPr>
              <w:p w:rsidR="00DF47EF" w:rsidRPr="0055696A" w:rsidRDefault="000F5238" w:rsidP="00253056">
                <w:pPr>
                  <w:spacing w:before="120" w:after="120"/>
                  <w:jc w:val="right"/>
                  <w:rPr>
                    <w:rFonts w:asciiTheme="majorHAnsi" w:hAnsiTheme="majorHAnsi" w:cs="Arial"/>
                    <w:szCs w:val="24"/>
                  </w:rPr>
                </w:pPr>
                <w:r>
                  <w:rPr>
                    <w:rFonts w:asciiTheme="majorHAnsi" w:hAnsiTheme="majorHAnsi" w:cs="Arial"/>
                    <w:szCs w:val="24"/>
                  </w:rPr>
                  <w:t>15</w:t>
                </w:r>
              </w:p>
            </w:tc>
          </w:tr>
          <w:tr w:rsidR="00DD4D51" w:rsidRPr="0055696A" w:rsidTr="003C1A08">
            <w:trPr>
              <w:trHeight w:val="624"/>
            </w:trPr>
            <w:tc>
              <w:tcPr>
                <w:tcW w:w="646" w:type="dxa"/>
                <w:vAlign w:val="center"/>
              </w:tcPr>
              <w:p w:rsidR="00DF47EF" w:rsidRPr="0055696A" w:rsidRDefault="000F5238" w:rsidP="00253056">
                <w:pPr>
                  <w:spacing w:before="120" w:after="120"/>
                  <w:jc w:val="center"/>
                  <w:rPr>
                    <w:rFonts w:asciiTheme="majorHAnsi" w:hAnsiTheme="majorHAnsi" w:cs="Arial"/>
                    <w:szCs w:val="24"/>
                  </w:rPr>
                </w:pPr>
                <w:r>
                  <w:rPr>
                    <w:rFonts w:asciiTheme="majorHAnsi" w:hAnsiTheme="majorHAnsi" w:cs="Arial"/>
                    <w:szCs w:val="24"/>
                  </w:rPr>
                  <w:t>6</w:t>
                </w:r>
                <w:r w:rsidR="00DF47EF" w:rsidRPr="0055696A">
                  <w:rPr>
                    <w:rFonts w:asciiTheme="majorHAnsi" w:hAnsiTheme="majorHAnsi" w:cs="Arial"/>
                    <w:szCs w:val="24"/>
                  </w:rPr>
                  <w:t>.</w:t>
                </w:r>
              </w:p>
            </w:tc>
            <w:tc>
              <w:tcPr>
                <w:tcW w:w="7929" w:type="dxa"/>
                <w:vAlign w:val="center"/>
              </w:tcPr>
              <w:p w:rsidR="00DF47EF" w:rsidRPr="0055696A" w:rsidRDefault="00DF47EF" w:rsidP="00253056">
                <w:pPr>
                  <w:spacing w:before="120" w:after="120"/>
                  <w:jc w:val="both"/>
                  <w:rPr>
                    <w:rFonts w:asciiTheme="majorHAnsi" w:hAnsiTheme="majorHAnsi" w:cs="Arial"/>
                    <w:szCs w:val="24"/>
                  </w:rPr>
                </w:pPr>
                <w:r w:rsidRPr="0055696A">
                  <w:rPr>
                    <w:rFonts w:asciiTheme="majorHAnsi" w:hAnsiTheme="majorHAnsi" w:cs="Arial"/>
                    <w:szCs w:val="24"/>
                  </w:rPr>
                  <w:t>OBRAZLOŽENJE PO EKONOMSKIM KODOVIMA</w:t>
                </w:r>
                <w:r w:rsidR="00253056" w:rsidRPr="0055696A">
                  <w:rPr>
                    <w:rFonts w:asciiTheme="majorHAnsi" w:hAnsiTheme="majorHAnsi" w:cs="Arial"/>
                    <w:szCs w:val="24"/>
                  </w:rPr>
                  <w:t xml:space="preserve"> </w:t>
                </w:r>
                <w:r w:rsidR="00B23F06" w:rsidRPr="0055696A">
                  <w:rPr>
                    <w:rFonts w:asciiTheme="majorHAnsi" w:hAnsiTheme="majorHAnsi" w:cs="Arial"/>
                    <w:szCs w:val="24"/>
                  </w:rPr>
                  <w:t>.............</w:t>
                </w:r>
                <w:r w:rsidR="004C0301" w:rsidRPr="0055696A">
                  <w:rPr>
                    <w:rFonts w:asciiTheme="majorHAnsi" w:hAnsiTheme="majorHAnsi" w:cs="Arial"/>
                    <w:szCs w:val="24"/>
                  </w:rPr>
                  <w:t>.............</w:t>
                </w:r>
                <w:r w:rsidR="00253056" w:rsidRPr="0055696A">
                  <w:rPr>
                    <w:rFonts w:asciiTheme="majorHAnsi" w:hAnsiTheme="majorHAnsi" w:cs="Arial"/>
                    <w:szCs w:val="24"/>
                  </w:rPr>
                  <w:t>........</w:t>
                </w:r>
                <w:r w:rsidR="00BE1BC8" w:rsidRPr="0055696A">
                  <w:rPr>
                    <w:rFonts w:asciiTheme="majorHAnsi" w:hAnsiTheme="majorHAnsi" w:cs="Arial"/>
                    <w:szCs w:val="24"/>
                  </w:rPr>
                  <w:t>..........................</w:t>
                </w:r>
              </w:p>
            </w:tc>
            <w:tc>
              <w:tcPr>
                <w:tcW w:w="785" w:type="dxa"/>
                <w:vAlign w:val="center"/>
              </w:tcPr>
              <w:p w:rsidR="00DF47EF" w:rsidRPr="0055696A" w:rsidRDefault="000F5238" w:rsidP="00253056">
                <w:pPr>
                  <w:spacing w:before="120" w:after="120"/>
                  <w:jc w:val="right"/>
                  <w:rPr>
                    <w:rFonts w:asciiTheme="majorHAnsi" w:hAnsiTheme="majorHAnsi" w:cs="Arial"/>
                    <w:szCs w:val="24"/>
                  </w:rPr>
                </w:pPr>
                <w:r>
                  <w:rPr>
                    <w:rFonts w:asciiTheme="majorHAnsi" w:hAnsiTheme="majorHAnsi" w:cs="Arial"/>
                    <w:szCs w:val="24"/>
                  </w:rPr>
                  <w:t>16</w:t>
                </w:r>
              </w:p>
            </w:tc>
          </w:tr>
          <w:tr w:rsidR="00DD4D51" w:rsidRPr="0055696A" w:rsidTr="003C1A08">
            <w:trPr>
              <w:trHeight w:val="624"/>
            </w:trPr>
            <w:tc>
              <w:tcPr>
                <w:tcW w:w="646" w:type="dxa"/>
                <w:vAlign w:val="center"/>
              </w:tcPr>
              <w:p w:rsidR="00DF47EF" w:rsidRPr="0055696A" w:rsidRDefault="00DF47EF" w:rsidP="00253056">
                <w:pPr>
                  <w:spacing w:before="120" w:after="120"/>
                  <w:jc w:val="center"/>
                  <w:rPr>
                    <w:rFonts w:asciiTheme="majorHAnsi" w:hAnsiTheme="majorHAnsi" w:cs="Arial"/>
                    <w:szCs w:val="24"/>
                  </w:rPr>
                </w:pPr>
              </w:p>
            </w:tc>
            <w:tc>
              <w:tcPr>
                <w:tcW w:w="7929" w:type="dxa"/>
                <w:vAlign w:val="center"/>
              </w:tcPr>
              <w:p w:rsidR="00DF47EF" w:rsidRPr="0055696A" w:rsidRDefault="000F5238" w:rsidP="00253056">
                <w:pPr>
                  <w:spacing w:before="120" w:after="120"/>
                  <w:jc w:val="both"/>
                  <w:rPr>
                    <w:rFonts w:asciiTheme="majorHAnsi" w:hAnsiTheme="majorHAnsi" w:cs="Arial"/>
                    <w:szCs w:val="24"/>
                  </w:rPr>
                </w:pPr>
                <w:r>
                  <w:rPr>
                    <w:rFonts w:asciiTheme="majorHAnsi" w:hAnsiTheme="majorHAnsi" w:cs="Arial"/>
                    <w:szCs w:val="24"/>
                  </w:rPr>
                  <w:t>6</w:t>
                </w:r>
                <w:r w:rsidR="00DF47EF" w:rsidRPr="0055696A">
                  <w:rPr>
                    <w:rFonts w:asciiTheme="majorHAnsi" w:hAnsiTheme="majorHAnsi" w:cs="Arial"/>
                    <w:szCs w:val="24"/>
                  </w:rPr>
                  <w:t>.1. Plaće i naknade troškova zaposlenih</w:t>
                </w:r>
                <w:r w:rsidR="00253056" w:rsidRPr="0055696A">
                  <w:rPr>
                    <w:rFonts w:asciiTheme="majorHAnsi" w:hAnsiTheme="majorHAnsi" w:cs="Arial"/>
                    <w:szCs w:val="24"/>
                  </w:rPr>
                  <w:t xml:space="preserve"> .....................</w:t>
                </w:r>
                <w:r w:rsidR="00D47BC9" w:rsidRPr="0055696A">
                  <w:rPr>
                    <w:rFonts w:asciiTheme="majorHAnsi" w:hAnsiTheme="majorHAnsi" w:cs="Arial"/>
                    <w:szCs w:val="24"/>
                  </w:rPr>
                  <w:t>.................</w:t>
                </w:r>
                <w:r w:rsidR="004C0301" w:rsidRPr="0055696A">
                  <w:rPr>
                    <w:rFonts w:asciiTheme="majorHAnsi" w:hAnsiTheme="majorHAnsi" w:cs="Arial"/>
                    <w:szCs w:val="24"/>
                  </w:rPr>
                  <w:t>..</w:t>
                </w:r>
                <w:r w:rsidR="00253056" w:rsidRPr="0055696A">
                  <w:rPr>
                    <w:rFonts w:asciiTheme="majorHAnsi" w:hAnsiTheme="majorHAnsi" w:cs="Arial"/>
                    <w:szCs w:val="24"/>
                  </w:rPr>
                  <w:t>..........</w:t>
                </w:r>
                <w:r w:rsidR="00BE1BC8" w:rsidRPr="0055696A">
                  <w:rPr>
                    <w:rFonts w:asciiTheme="majorHAnsi" w:hAnsiTheme="majorHAnsi" w:cs="Arial"/>
                    <w:szCs w:val="24"/>
                  </w:rPr>
                  <w:t>........................</w:t>
                </w:r>
              </w:p>
            </w:tc>
            <w:tc>
              <w:tcPr>
                <w:tcW w:w="785" w:type="dxa"/>
                <w:vAlign w:val="center"/>
              </w:tcPr>
              <w:p w:rsidR="00DF47EF" w:rsidRPr="0055696A" w:rsidRDefault="000F5238" w:rsidP="00253056">
                <w:pPr>
                  <w:spacing w:before="120" w:after="120"/>
                  <w:jc w:val="right"/>
                  <w:rPr>
                    <w:rFonts w:asciiTheme="majorHAnsi" w:hAnsiTheme="majorHAnsi" w:cs="Arial"/>
                    <w:szCs w:val="24"/>
                  </w:rPr>
                </w:pPr>
                <w:r>
                  <w:rPr>
                    <w:rFonts w:asciiTheme="majorHAnsi" w:hAnsiTheme="majorHAnsi" w:cs="Arial"/>
                    <w:szCs w:val="24"/>
                  </w:rPr>
                  <w:t>16</w:t>
                </w:r>
              </w:p>
            </w:tc>
          </w:tr>
          <w:tr w:rsidR="00DD4D51" w:rsidRPr="0055696A" w:rsidTr="003C1A08">
            <w:trPr>
              <w:trHeight w:val="624"/>
            </w:trPr>
            <w:tc>
              <w:tcPr>
                <w:tcW w:w="646" w:type="dxa"/>
                <w:vAlign w:val="center"/>
              </w:tcPr>
              <w:p w:rsidR="00DF47EF" w:rsidRPr="0055696A" w:rsidRDefault="00DF47EF" w:rsidP="00253056">
                <w:pPr>
                  <w:spacing w:before="120" w:after="120"/>
                  <w:jc w:val="center"/>
                  <w:rPr>
                    <w:rFonts w:asciiTheme="majorHAnsi" w:hAnsiTheme="majorHAnsi" w:cs="Arial"/>
                    <w:szCs w:val="24"/>
                  </w:rPr>
                </w:pPr>
              </w:p>
            </w:tc>
            <w:tc>
              <w:tcPr>
                <w:tcW w:w="7929" w:type="dxa"/>
                <w:vAlign w:val="center"/>
              </w:tcPr>
              <w:p w:rsidR="00DF47EF" w:rsidRPr="0055696A" w:rsidRDefault="000F5238" w:rsidP="004C0301">
                <w:pPr>
                  <w:spacing w:before="120" w:after="120"/>
                  <w:jc w:val="both"/>
                  <w:rPr>
                    <w:rFonts w:asciiTheme="majorHAnsi" w:hAnsiTheme="majorHAnsi" w:cs="Arial"/>
                    <w:szCs w:val="24"/>
                  </w:rPr>
                </w:pPr>
                <w:r>
                  <w:rPr>
                    <w:rFonts w:asciiTheme="majorHAnsi" w:hAnsiTheme="majorHAnsi" w:cs="Arial"/>
                    <w:szCs w:val="24"/>
                  </w:rPr>
                  <w:t>6</w:t>
                </w:r>
                <w:r w:rsidR="00DF47EF" w:rsidRPr="0055696A">
                  <w:rPr>
                    <w:rFonts w:asciiTheme="majorHAnsi" w:hAnsiTheme="majorHAnsi" w:cs="Arial"/>
                    <w:szCs w:val="24"/>
                  </w:rPr>
                  <w:t>.2. Doprinosi poslodavca</w:t>
                </w:r>
                <w:r w:rsidR="00223AE6" w:rsidRPr="0055696A">
                  <w:rPr>
                    <w:rFonts w:asciiTheme="majorHAnsi" w:hAnsiTheme="majorHAnsi" w:cs="Arial"/>
                    <w:szCs w:val="24"/>
                  </w:rPr>
                  <w:t xml:space="preserve"> i ostali doprinosi</w:t>
                </w:r>
                <w:r w:rsidR="00253056" w:rsidRPr="0055696A">
                  <w:rPr>
                    <w:rFonts w:asciiTheme="majorHAnsi" w:hAnsiTheme="majorHAnsi" w:cs="Arial"/>
                    <w:szCs w:val="24"/>
                  </w:rPr>
                  <w:t xml:space="preserve"> </w:t>
                </w:r>
                <w:r w:rsidR="00223AE6" w:rsidRPr="0055696A">
                  <w:rPr>
                    <w:rFonts w:asciiTheme="majorHAnsi" w:hAnsiTheme="majorHAnsi" w:cs="Arial"/>
                    <w:szCs w:val="24"/>
                  </w:rPr>
                  <w:t>.</w:t>
                </w:r>
                <w:r w:rsidR="00253056" w:rsidRPr="0055696A">
                  <w:rPr>
                    <w:rFonts w:asciiTheme="majorHAnsi" w:hAnsiTheme="majorHAnsi" w:cs="Arial"/>
                    <w:szCs w:val="24"/>
                  </w:rPr>
                  <w:t>.....</w:t>
                </w:r>
                <w:r w:rsidR="004C0301" w:rsidRPr="0055696A">
                  <w:rPr>
                    <w:rFonts w:asciiTheme="majorHAnsi" w:hAnsiTheme="majorHAnsi" w:cs="Arial"/>
                    <w:szCs w:val="24"/>
                  </w:rPr>
                  <w:t>.............................</w:t>
                </w:r>
                <w:r w:rsidR="00253056" w:rsidRPr="0055696A">
                  <w:rPr>
                    <w:rFonts w:asciiTheme="majorHAnsi" w:hAnsiTheme="majorHAnsi" w:cs="Arial"/>
                    <w:szCs w:val="24"/>
                  </w:rPr>
                  <w:t>.............</w:t>
                </w:r>
                <w:r w:rsidR="00BE1BC8" w:rsidRPr="0055696A">
                  <w:rPr>
                    <w:rFonts w:asciiTheme="majorHAnsi" w:hAnsiTheme="majorHAnsi" w:cs="Arial"/>
                    <w:szCs w:val="24"/>
                  </w:rPr>
                  <w:t>....................</w:t>
                </w:r>
              </w:p>
            </w:tc>
            <w:tc>
              <w:tcPr>
                <w:tcW w:w="785" w:type="dxa"/>
                <w:vAlign w:val="center"/>
              </w:tcPr>
              <w:p w:rsidR="00DF47EF" w:rsidRPr="0055696A" w:rsidRDefault="00953184" w:rsidP="005E7F90">
                <w:pPr>
                  <w:spacing w:before="120" w:after="120"/>
                  <w:jc w:val="right"/>
                  <w:rPr>
                    <w:rFonts w:asciiTheme="majorHAnsi" w:hAnsiTheme="majorHAnsi" w:cs="Arial"/>
                    <w:szCs w:val="24"/>
                  </w:rPr>
                </w:pPr>
                <w:r w:rsidRPr="0055696A">
                  <w:rPr>
                    <w:rFonts w:asciiTheme="majorHAnsi" w:hAnsiTheme="majorHAnsi" w:cs="Arial"/>
                    <w:szCs w:val="24"/>
                  </w:rPr>
                  <w:t>1</w:t>
                </w:r>
                <w:r w:rsidR="000F5238">
                  <w:rPr>
                    <w:rFonts w:asciiTheme="majorHAnsi" w:hAnsiTheme="majorHAnsi" w:cs="Arial"/>
                    <w:szCs w:val="24"/>
                  </w:rPr>
                  <w:t>7</w:t>
                </w:r>
              </w:p>
            </w:tc>
          </w:tr>
          <w:tr w:rsidR="00DD4D51" w:rsidRPr="0055696A" w:rsidTr="003C1A08">
            <w:trPr>
              <w:trHeight w:val="624"/>
            </w:trPr>
            <w:tc>
              <w:tcPr>
                <w:tcW w:w="646" w:type="dxa"/>
                <w:vAlign w:val="center"/>
              </w:tcPr>
              <w:p w:rsidR="00DF47EF" w:rsidRPr="0055696A" w:rsidRDefault="00DF47EF" w:rsidP="00253056">
                <w:pPr>
                  <w:spacing w:before="120" w:after="120"/>
                  <w:jc w:val="center"/>
                  <w:rPr>
                    <w:rFonts w:asciiTheme="majorHAnsi" w:hAnsiTheme="majorHAnsi" w:cs="Arial"/>
                    <w:szCs w:val="24"/>
                  </w:rPr>
                </w:pPr>
              </w:p>
            </w:tc>
            <w:tc>
              <w:tcPr>
                <w:tcW w:w="7929" w:type="dxa"/>
                <w:vAlign w:val="center"/>
              </w:tcPr>
              <w:p w:rsidR="00DF47EF" w:rsidRPr="0055696A" w:rsidRDefault="000F5238" w:rsidP="00253056">
                <w:pPr>
                  <w:spacing w:before="120" w:after="120"/>
                  <w:jc w:val="both"/>
                  <w:rPr>
                    <w:rFonts w:asciiTheme="majorHAnsi" w:hAnsiTheme="majorHAnsi" w:cs="Arial"/>
                    <w:szCs w:val="24"/>
                  </w:rPr>
                </w:pPr>
                <w:r>
                  <w:rPr>
                    <w:rFonts w:asciiTheme="majorHAnsi" w:hAnsiTheme="majorHAnsi" w:cs="Arial"/>
                    <w:szCs w:val="24"/>
                  </w:rPr>
                  <w:t>6</w:t>
                </w:r>
                <w:r w:rsidR="00476BC3" w:rsidRPr="0055696A">
                  <w:rPr>
                    <w:rFonts w:asciiTheme="majorHAnsi" w:hAnsiTheme="majorHAnsi" w:cs="Arial"/>
                    <w:szCs w:val="24"/>
                  </w:rPr>
                  <w:t>.3. Izdaci za materijal, sit</w:t>
                </w:r>
                <w:r w:rsidR="00DF47EF" w:rsidRPr="0055696A">
                  <w:rPr>
                    <w:rFonts w:asciiTheme="majorHAnsi" w:hAnsiTheme="majorHAnsi" w:cs="Arial"/>
                    <w:szCs w:val="24"/>
                  </w:rPr>
                  <w:t>n</w:t>
                </w:r>
                <w:r w:rsidR="00476BC3" w:rsidRPr="0055696A">
                  <w:rPr>
                    <w:rFonts w:asciiTheme="majorHAnsi" w:hAnsiTheme="majorHAnsi" w:cs="Arial"/>
                    <w:szCs w:val="24"/>
                  </w:rPr>
                  <w:t>i</w:t>
                </w:r>
                <w:r w:rsidR="00DF47EF" w:rsidRPr="0055696A">
                  <w:rPr>
                    <w:rFonts w:asciiTheme="majorHAnsi" w:hAnsiTheme="majorHAnsi" w:cs="Arial"/>
                    <w:szCs w:val="24"/>
                  </w:rPr>
                  <w:t xml:space="preserve"> inventar i usluge</w:t>
                </w:r>
                <w:r w:rsidR="00253056" w:rsidRPr="0055696A">
                  <w:rPr>
                    <w:rFonts w:asciiTheme="majorHAnsi" w:hAnsiTheme="majorHAnsi" w:cs="Arial"/>
                    <w:szCs w:val="24"/>
                  </w:rPr>
                  <w:t xml:space="preserve"> ...............</w:t>
                </w:r>
                <w:r w:rsidR="00476BC3" w:rsidRPr="0055696A">
                  <w:rPr>
                    <w:rFonts w:asciiTheme="majorHAnsi" w:hAnsiTheme="majorHAnsi" w:cs="Arial"/>
                    <w:szCs w:val="24"/>
                  </w:rPr>
                  <w:t>.</w:t>
                </w:r>
                <w:r w:rsidR="00253056" w:rsidRPr="0055696A">
                  <w:rPr>
                    <w:rFonts w:asciiTheme="majorHAnsi" w:hAnsiTheme="majorHAnsi" w:cs="Arial"/>
                    <w:szCs w:val="24"/>
                  </w:rPr>
                  <w:t>...</w:t>
                </w:r>
                <w:r w:rsidR="004C0301" w:rsidRPr="0055696A">
                  <w:rPr>
                    <w:rFonts w:asciiTheme="majorHAnsi" w:hAnsiTheme="majorHAnsi" w:cs="Arial"/>
                    <w:szCs w:val="24"/>
                  </w:rPr>
                  <w:t>.....................</w:t>
                </w:r>
                <w:r w:rsidR="00253056" w:rsidRPr="0055696A">
                  <w:rPr>
                    <w:rFonts w:asciiTheme="majorHAnsi" w:hAnsiTheme="majorHAnsi" w:cs="Arial"/>
                    <w:szCs w:val="24"/>
                  </w:rPr>
                  <w:t>.....</w:t>
                </w:r>
                <w:r w:rsidR="00BE1BC8" w:rsidRPr="0055696A">
                  <w:rPr>
                    <w:rFonts w:asciiTheme="majorHAnsi" w:hAnsiTheme="majorHAnsi" w:cs="Arial"/>
                    <w:szCs w:val="24"/>
                  </w:rPr>
                  <w:t>...................</w:t>
                </w:r>
              </w:p>
            </w:tc>
            <w:tc>
              <w:tcPr>
                <w:tcW w:w="785" w:type="dxa"/>
                <w:vAlign w:val="center"/>
              </w:tcPr>
              <w:p w:rsidR="00DF47EF" w:rsidRPr="0055696A" w:rsidRDefault="000F5238" w:rsidP="00253056">
                <w:pPr>
                  <w:spacing w:before="120" w:after="120"/>
                  <w:jc w:val="right"/>
                  <w:rPr>
                    <w:rFonts w:asciiTheme="majorHAnsi" w:hAnsiTheme="majorHAnsi" w:cs="Arial"/>
                    <w:szCs w:val="24"/>
                  </w:rPr>
                </w:pPr>
                <w:r>
                  <w:rPr>
                    <w:rFonts w:asciiTheme="majorHAnsi" w:hAnsiTheme="majorHAnsi" w:cs="Arial"/>
                    <w:szCs w:val="24"/>
                  </w:rPr>
                  <w:t>17</w:t>
                </w:r>
              </w:p>
            </w:tc>
          </w:tr>
          <w:tr w:rsidR="00DD4D51" w:rsidRPr="0055696A" w:rsidTr="003C1A08">
            <w:trPr>
              <w:trHeight w:val="624"/>
            </w:trPr>
            <w:tc>
              <w:tcPr>
                <w:tcW w:w="646" w:type="dxa"/>
                <w:vAlign w:val="center"/>
              </w:tcPr>
              <w:p w:rsidR="00DF47EF" w:rsidRPr="0055696A" w:rsidRDefault="00DF47EF" w:rsidP="00253056">
                <w:pPr>
                  <w:spacing w:before="120" w:after="120"/>
                  <w:jc w:val="center"/>
                  <w:rPr>
                    <w:rFonts w:asciiTheme="majorHAnsi" w:hAnsiTheme="majorHAnsi" w:cs="Arial"/>
                    <w:szCs w:val="24"/>
                  </w:rPr>
                </w:pPr>
              </w:p>
            </w:tc>
            <w:tc>
              <w:tcPr>
                <w:tcW w:w="7929" w:type="dxa"/>
                <w:vAlign w:val="center"/>
              </w:tcPr>
              <w:p w:rsidR="00DF47EF" w:rsidRPr="0055696A" w:rsidRDefault="000F5238" w:rsidP="004C0301">
                <w:pPr>
                  <w:spacing w:before="120" w:after="120"/>
                  <w:jc w:val="both"/>
                  <w:rPr>
                    <w:rFonts w:asciiTheme="majorHAnsi" w:hAnsiTheme="majorHAnsi" w:cs="Arial"/>
                    <w:szCs w:val="24"/>
                  </w:rPr>
                </w:pPr>
                <w:r>
                  <w:rPr>
                    <w:rFonts w:asciiTheme="majorHAnsi" w:hAnsiTheme="majorHAnsi" w:cs="Arial"/>
                    <w:szCs w:val="24"/>
                  </w:rPr>
                  <w:t>6</w:t>
                </w:r>
                <w:r w:rsidR="00253056" w:rsidRPr="0055696A">
                  <w:rPr>
                    <w:rFonts w:asciiTheme="majorHAnsi" w:hAnsiTheme="majorHAnsi" w:cs="Arial"/>
                    <w:szCs w:val="24"/>
                  </w:rPr>
                  <w:t>.4. Tekući transferi</w:t>
                </w:r>
                <w:r w:rsidR="00476BC3" w:rsidRPr="0055696A">
                  <w:rPr>
                    <w:rFonts w:asciiTheme="majorHAnsi" w:hAnsiTheme="majorHAnsi" w:cs="Arial"/>
                    <w:szCs w:val="24"/>
                  </w:rPr>
                  <w:t xml:space="preserve"> i drugi tekući rashodi</w:t>
                </w:r>
                <w:r w:rsidR="00253056" w:rsidRPr="0055696A">
                  <w:rPr>
                    <w:rFonts w:asciiTheme="majorHAnsi" w:hAnsiTheme="majorHAnsi" w:cs="Arial"/>
                    <w:szCs w:val="24"/>
                  </w:rPr>
                  <w:t xml:space="preserve"> .</w:t>
                </w:r>
                <w:r w:rsidR="00476BC3" w:rsidRPr="0055696A">
                  <w:rPr>
                    <w:rFonts w:asciiTheme="majorHAnsi" w:hAnsiTheme="majorHAnsi" w:cs="Arial"/>
                    <w:szCs w:val="24"/>
                  </w:rPr>
                  <w:t>.....</w:t>
                </w:r>
                <w:r w:rsidR="00253056" w:rsidRPr="0055696A">
                  <w:rPr>
                    <w:rFonts w:asciiTheme="majorHAnsi" w:hAnsiTheme="majorHAnsi" w:cs="Arial"/>
                    <w:szCs w:val="24"/>
                  </w:rPr>
                  <w:t>...</w:t>
                </w:r>
                <w:r w:rsidR="004C0301" w:rsidRPr="0055696A">
                  <w:rPr>
                    <w:rFonts w:asciiTheme="majorHAnsi" w:hAnsiTheme="majorHAnsi" w:cs="Arial"/>
                    <w:szCs w:val="24"/>
                  </w:rPr>
                  <w:t>.............................</w:t>
                </w:r>
                <w:r w:rsidR="00253056" w:rsidRPr="0055696A">
                  <w:rPr>
                    <w:rFonts w:asciiTheme="majorHAnsi" w:hAnsiTheme="majorHAnsi" w:cs="Arial"/>
                    <w:szCs w:val="24"/>
                  </w:rPr>
                  <w:t>............</w:t>
                </w:r>
                <w:r w:rsidR="00BE1BC8" w:rsidRPr="0055696A">
                  <w:rPr>
                    <w:rFonts w:asciiTheme="majorHAnsi" w:hAnsiTheme="majorHAnsi" w:cs="Arial"/>
                    <w:szCs w:val="24"/>
                  </w:rPr>
                  <w:t>....................</w:t>
                </w:r>
              </w:p>
            </w:tc>
            <w:tc>
              <w:tcPr>
                <w:tcW w:w="785" w:type="dxa"/>
                <w:vAlign w:val="center"/>
              </w:tcPr>
              <w:p w:rsidR="00DF47EF" w:rsidRPr="0055696A" w:rsidRDefault="000F5238" w:rsidP="00253056">
                <w:pPr>
                  <w:spacing w:before="120" w:after="120"/>
                  <w:jc w:val="right"/>
                  <w:rPr>
                    <w:rFonts w:asciiTheme="majorHAnsi" w:hAnsiTheme="majorHAnsi" w:cs="Arial"/>
                    <w:szCs w:val="24"/>
                  </w:rPr>
                </w:pPr>
                <w:r>
                  <w:rPr>
                    <w:rFonts w:asciiTheme="majorHAnsi" w:hAnsiTheme="majorHAnsi" w:cs="Arial"/>
                    <w:szCs w:val="24"/>
                  </w:rPr>
                  <w:t>18</w:t>
                </w:r>
              </w:p>
            </w:tc>
          </w:tr>
          <w:tr w:rsidR="00DD4D51" w:rsidRPr="0055696A" w:rsidTr="003C1A08">
            <w:trPr>
              <w:trHeight w:val="624"/>
            </w:trPr>
            <w:tc>
              <w:tcPr>
                <w:tcW w:w="646" w:type="dxa"/>
                <w:vAlign w:val="center"/>
              </w:tcPr>
              <w:p w:rsidR="00DF47EF" w:rsidRPr="0055696A" w:rsidRDefault="00DF47EF" w:rsidP="00253056">
                <w:pPr>
                  <w:spacing w:before="120" w:after="120"/>
                  <w:jc w:val="center"/>
                  <w:rPr>
                    <w:rFonts w:asciiTheme="majorHAnsi" w:hAnsiTheme="majorHAnsi" w:cs="Arial"/>
                    <w:szCs w:val="24"/>
                  </w:rPr>
                </w:pPr>
              </w:p>
            </w:tc>
            <w:tc>
              <w:tcPr>
                <w:tcW w:w="7929" w:type="dxa"/>
                <w:vAlign w:val="center"/>
              </w:tcPr>
              <w:p w:rsidR="00DF47EF" w:rsidRPr="0055696A" w:rsidRDefault="000F5238" w:rsidP="004C0301">
                <w:pPr>
                  <w:spacing w:before="120" w:after="120"/>
                  <w:jc w:val="both"/>
                  <w:rPr>
                    <w:rFonts w:asciiTheme="majorHAnsi" w:hAnsiTheme="majorHAnsi" w:cs="Arial"/>
                    <w:szCs w:val="24"/>
                  </w:rPr>
                </w:pPr>
                <w:r>
                  <w:rPr>
                    <w:rFonts w:asciiTheme="majorHAnsi" w:hAnsiTheme="majorHAnsi" w:cs="Arial"/>
                    <w:szCs w:val="24"/>
                  </w:rPr>
                  <w:t>6</w:t>
                </w:r>
                <w:r w:rsidR="00253056" w:rsidRPr="0055696A">
                  <w:rPr>
                    <w:rFonts w:asciiTheme="majorHAnsi" w:hAnsiTheme="majorHAnsi" w:cs="Arial"/>
                    <w:szCs w:val="24"/>
                  </w:rPr>
                  <w:t>.5. Kapitalni transferi ....................................</w:t>
                </w:r>
                <w:r w:rsidR="004C0301" w:rsidRPr="0055696A">
                  <w:rPr>
                    <w:rFonts w:asciiTheme="majorHAnsi" w:hAnsiTheme="majorHAnsi" w:cs="Arial"/>
                    <w:szCs w:val="24"/>
                  </w:rPr>
                  <w:t>.</w:t>
                </w:r>
                <w:r w:rsidR="00B23F06" w:rsidRPr="0055696A">
                  <w:rPr>
                    <w:rFonts w:asciiTheme="majorHAnsi" w:hAnsiTheme="majorHAnsi" w:cs="Arial"/>
                    <w:szCs w:val="24"/>
                  </w:rPr>
                  <w:t>............</w:t>
                </w:r>
                <w:r w:rsidR="00253056" w:rsidRPr="0055696A">
                  <w:rPr>
                    <w:rFonts w:asciiTheme="majorHAnsi" w:hAnsiTheme="majorHAnsi" w:cs="Arial"/>
                    <w:szCs w:val="24"/>
                  </w:rPr>
                  <w:t>...............................</w:t>
                </w:r>
                <w:r w:rsidR="00BE1BC8" w:rsidRPr="0055696A">
                  <w:rPr>
                    <w:rFonts w:asciiTheme="majorHAnsi" w:hAnsiTheme="majorHAnsi" w:cs="Arial"/>
                    <w:szCs w:val="24"/>
                  </w:rPr>
                  <w:t>...............................</w:t>
                </w:r>
              </w:p>
            </w:tc>
            <w:tc>
              <w:tcPr>
                <w:tcW w:w="785" w:type="dxa"/>
                <w:vAlign w:val="center"/>
              </w:tcPr>
              <w:p w:rsidR="00DF47EF" w:rsidRPr="0055696A" w:rsidRDefault="000F5238" w:rsidP="00253056">
                <w:pPr>
                  <w:spacing w:before="120" w:after="120"/>
                  <w:jc w:val="right"/>
                  <w:rPr>
                    <w:rFonts w:asciiTheme="majorHAnsi" w:hAnsiTheme="majorHAnsi" w:cs="Arial"/>
                    <w:szCs w:val="24"/>
                  </w:rPr>
                </w:pPr>
                <w:r>
                  <w:rPr>
                    <w:rFonts w:asciiTheme="majorHAnsi" w:hAnsiTheme="majorHAnsi" w:cs="Arial"/>
                    <w:szCs w:val="24"/>
                  </w:rPr>
                  <w:t>19</w:t>
                </w:r>
              </w:p>
            </w:tc>
          </w:tr>
          <w:tr w:rsidR="00DD4D51" w:rsidRPr="0055696A" w:rsidTr="003C1A08">
            <w:trPr>
              <w:trHeight w:val="624"/>
            </w:trPr>
            <w:tc>
              <w:tcPr>
                <w:tcW w:w="646" w:type="dxa"/>
                <w:vAlign w:val="center"/>
              </w:tcPr>
              <w:p w:rsidR="00DF47EF" w:rsidRPr="0055696A" w:rsidRDefault="00DF47EF" w:rsidP="00253056">
                <w:pPr>
                  <w:spacing w:before="120" w:after="120"/>
                  <w:jc w:val="center"/>
                  <w:rPr>
                    <w:rFonts w:asciiTheme="majorHAnsi" w:hAnsiTheme="majorHAnsi" w:cs="Arial"/>
                    <w:szCs w:val="24"/>
                  </w:rPr>
                </w:pPr>
              </w:p>
            </w:tc>
            <w:tc>
              <w:tcPr>
                <w:tcW w:w="7929" w:type="dxa"/>
                <w:vAlign w:val="center"/>
              </w:tcPr>
              <w:p w:rsidR="00DF47EF" w:rsidRPr="0055696A" w:rsidRDefault="000F5238" w:rsidP="004C0301">
                <w:pPr>
                  <w:spacing w:before="120" w:after="120"/>
                  <w:jc w:val="both"/>
                  <w:rPr>
                    <w:rFonts w:asciiTheme="majorHAnsi" w:hAnsiTheme="majorHAnsi" w:cs="Arial"/>
                    <w:szCs w:val="24"/>
                  </w:rPr>
                </w:pPr>
                <w:r>
                  <w:rPr>
                    <w:rFonts w:asciiTheme="majorHAnsi" w:hAnsiTheme="majorHAnsi" w:cs="Arial"/>
                    <w:szCs w:val="24"/>
                  </w:rPr>
                  <w:t>6</w:t>
                </w:r>
                <w:r w:rsidR="00253056" w:rsidRPr="0055696A">
                  <w:rPr>
                    <w:rFonts w:asciiTheme="majorHAnsi" w:hAnsiTheme="majorHAnsi" w:cs="Arial"/>
                    <w:szCs w:val="24"/>
                  </w:rPr>
                  <w:t>.6. Izdaci za kamate ......................................................</w:t>
                </w:r>
                <w:r w:rsidR="004C0301" w:rsidRPr="0055696A">
                  <w:rPr>
                    <w:rFonts w:asciiTheme="majorHAnsi" w:hAnsiTheme="majorHAnsi" w:cs="Arial"/>
                    <w:szCs w:val="24"/>
                  </w:rPr>
                  <w:t>.....</w:t>
                </w:r>
                <w:r w:rsidR="00B23F06" w:rsidRPr="0055696A">
                  <w:rPr>
                    <w:rFonts w:asciiTheme="majorHAnsi" w:hAnsiTheme="majorHAnsi" w:cs="Arial"/>
                    <w:szCs w:val="24"/>
                  </w:rPr>
                  <w:t>......</w:t>
                </w:r>
                <w:r w:rsidR="00253056" w:rsidRPr="0055696A">
                  <w:rPr>
                    <w:rFonts w:asciiTheme="majorHAnsi" w:hAnsiTheme="majorHAnsi" w:cs="Arial"/>
                    <w:szCs w:val="24"/>
                  </w:rPr>
                  <w:t>................</w:t>
                </w:r>
                <w:r w:rsidR="00BE1BC8" w:rsidRPr="0055696A">
                  <w:rPr>
                    <w:rFonts w:asciiTheme="majorHAnsi" w:hAnsiTheme="majorHAnsi" w:cs="Arial"/>
                    <w:szCs w:val="24"/>
                  </w:rPr>
                  <w:t>..................................</w:t>
                </w:r>
              </w:p>
            </w:tc>
            <w:tc>
              <w:tcPr>
                <w:tcW w:w="785" w:type="dxa"/>
                <w:vAlign w:val="center"/>
              </w:tcPr>
              <w:p w:rsidR="00DF47EF" w:rsidRPr="0055696A" w:rsidRDefault="000F5238" w:rsidP="00253056">
                <w:pPr>
                  <w:spacing w:before="120" w:after="120"/>
                  <w:jc w:val="right"/>
                  <w:rPr>
                    <w:rFonts w:asciiTheme="majorHAnsi" w:hAnsiTheme="majorHAnsi" w:cs="Arial"/>
                    <w:szCs w:val="24"/>
                  </w:rPr>
                </w:pPr>
                <w:r>
                  <w:rPr>
                    <w:rFonts w:asciiTheme="majorHAnsi" w:hAnsiTheme="majorHAnsi" w:cs="Arial"/>
                    <w:szCs w:val="24"/>
                  </w:rPr>
                  <w:t>20</w:t>
                </w:r>
              </w:p>
            </w:tc>
          </w:tr>
          <w:tr w:rsidR="00DD4D51" w:rsidRPr="0055696A" w:rsidTr="003C1A08">
            <w:trPr>
              <w:trHeight w:val="624"/>
            </w:trPr>
            <w:tc>
              <w:tcPr>
                <w:tcW w:w="646" w:type="dxa"/>
                <w:vAlign w:val="center"/>
              </w:tcPr>
              <w:p w:rsidR="00DF47EF" w:rsidRPr="0055696A" w:rsidRDefault="00DF47EF" w:rsidP="00253056">
                <w:pPr>
                  <w:spacing w:before="120" w:after="120"/>
                  <w:jc w:val="center"/>
                  <w:rPr>
                    <w:rFonts w:asciiTheme="majorHAnsi" w:hAnsiTheme="majorHAnsi" w:cs="Arial"/>
                    <w:szCs w:val="24"/>
                  </w:rPr>
                </w:pPr>
              </w:p>
            </w:tc>
            <w:tc>
              <w:tcPr>
                <w:tcW w:w="7929" w:type="dxa"/>
                <w:vAlign w:val="center"/>
              </w:tcPr>
              <w:p w:rsidR="00DF47EF" w:rsidRPr="0055696A" w:rsidRDefault="000F5238" w:rsidP="004C0301">
                <w:pPr>
                  <w:spacing w:before="120" w:after="120"/>
                  <w:jc w:val="both"/>
                  <w:rPr>
                    <w:rFonts w:asciiTheme="majorHAnsi" w:hAnsiTheme="majorHAnsi" w:cs="Arial"/>
                    <w:szCs w:val="24"/>
                  </w:rPr>
                </w:pPr>
                <w:r>
                  <w:rPr>
                    <w:rFonts w:asciiTheme="majorHAnsi" w:hAnsiTheme="majorHAnsi" w:cs="Arial"/>
                    <w:szCs w:val="24"/>
                  </w:rPr>
                  <w:t>6</w:t>
                </w:r>
                <w:r w:rsidR="00253056" w:rsidRPr="0055696A">
                  <w:rPr>
                    <w:rFonts w:asciiTheme="majorHAnsi" w:hAnsiTheme="majorHAnsi" w:cs="Arial"/>
                    <w:szCs w:val="24"/>
                  </w:rPr>
                  <w:t xml:space="preserve">.7. </w:t>
                </w:r>
                <w:r w:rsidR="00476BC3" w:rsidRPr="0055696A">
                  <w:rPr>
                    <w:rFonts w:asciiTheme="majorHAnsi" w:hAnsiTheme="majorHAnsi" w:cs="Arial"/>
                    <w:szCs w:val="24"/>
                  </w:rPr>
                  <w:t>Izdaci za nabavku</w:t>
                </w:r>
                <w:r w:rsidR="00253056" w:rsidRPr="0055696A">
                  <w:rPr>
                    <w:rFonts w:asciiTheme="majorHAnsi" w:hAnsiTheme="majorHAnsi" w:cs="Arial"/>
                    <w:szCs w:val="24"/>
                  </w:rPr>
                  <w:t xml:space="preserve"> stalnih sredstava ............................................</w:t>
                </w:r>
                <w:r w:rsidR="00476BC3" w:rsidRPr="0055696A">
                  <w:rPr>
                    <w:rFonts w:asciiTheme="majorHAnsi" w:hAnsiTheme="majorHAnsi" w:cs="Arial"/>
                    <w:szCs w:val="24"/>
                  </w:rPr>
                  <w:t>.....</w:t>
                </w:r>
                <w:r w:rsidR="00253056" w:rsidRPr="0055696A">
                  <w:rPr>
                    <w:rFonts w:asciiTheme="majorHAnsi" w:hAnsiTheme="majorHAnsi" w:cs="Arial"/>
                    <w:szCs w:val="24"/>
                  </w:rPr>
                  <w:t>...</w:t>
                </w:r>
                <w:r w:rsidR="00BE1BC8" w:rsidRPr="0055696A">
                  <w:rPr>
                    <w:rFonts w:asciiTheme="majorHAnsi" w:hAnsiTheme="majorHAnsi" w:cs="Arial"/>
                    <w:szCs w:val="24"/>
                  </w:rPr>
                  <w:t>........................</w:t>
                </w:r>
              </w:p>
            </w:tc>
            <w:tc>
              <w:tcPr>
                <w:tcW w:w="785" w:type="dxa"/>
                <w:vAlign w:val="center"/>
              </w:tcPr>
              <w:p w:rsidR="00DF47EF" w:rsidRPr="0055696A" w:rsidRDefault="000F5238" w:rsidP="005E7F90">
                <w:pPr>
                  <w:spacing w:before="120" w:after="120"/>
                  <w:jc w:val="right"/>
                  <w:rPr>
                    <w:rFonts w:asciiTheme="majorHAnsi" w:hAnsiTheme="majorHAnsi" w:cs="Arial"/>
                    <w:szCs w:val="24"/>
                  </w:rPr>
                </w:pPr>
                <w:r>
                  <w:rPr>
                    <w:rFonts w:asciiTheme="majorHAnsi" w:hAnsiTheme="majorHAnsi" w:cs="Arial"/>
                    <w:szCs w:val="24"/>
                  </w:rPr>
                  <w:t>20</w:t>
                </w:r>
              </w:p>
            </w:tc>
          </w:tr>
          <w:tr w:rsidR="00DD4D51" w:rsidRPr="0055696A" w:rsidTr="003C1A08">
            <w:trPr>
              <w:trHeight w:val="624"/>
            </w:trPr>
            <w:tc>
              <w:tcPr>
                <w:tcW w:w="646" w:type="dxa"/>
                <w:vAlign w:val="center"/>
              </w:tcPr>
              <w:p w:rsidR="00253056" w:rsidRPr="0055696A" w:rsidRDefault="00253056" w:rsidP="00253056">
                <w:pPr>
                  <w:spacing w:before="120" w:after="120"/>
                  <w:jc w:val="center"/>
                  <w:rPr>
                    <w:rFonts w:asciiTheme="majorHAnsi" w:hAnsiTheme="majorHAnsi" w:cs="Arial"/>
                    <w:szCs w:val="24"/>
                  </w:rPr>
                </w:pPr>
              </w:p>
            </w:tc>
            <w:tc>
              <w:tcPr>
                <w:tcW w:w="7929" w:type="dxa"/>
                <w:vAlign w:val="center"/>
              </w:tcPr>
              <w:p w:rsidR="00253056" w:rsidRPr="0055696A" w:rsidRDefault="000F5238" w:rsidP="008F3960">
                <w:pPr>
                  <w:spacing w:before="120" w:after="120"/>
                  <w:jc w:val="both"/>
                  <w:rPr>
                    <w:rFonts w:asciiTheme="majorHAnsi" w:hAnsiTheme="majorHAnsi" w:cs="Arial"/>
                    <w:szCs w:val="24"/>
                  </w:rPr>
                </w:pPr>
                <w:r>
                  <w:rPr>
                    <w:rFonts w:asciiTheme="majorHAnsi" w:hAnsiTheme="majorHAnsi" w:cs="Arial"/>
                    <w:szCs w:val="24"/>
                  </w:rPr>
                  <w:t>6</w:t>
                </w:r>
                <w:r w:rsidR="00253056" w:rsidRPr="0055696A">
                  <w:rPr>
                    <w:rFonts w:asciiTheme="majorHAnsi" w:hAnsiTheme="majorHAnsi" w:cs="Arial"/>
                    <w:szCs w:val="24"/>
                  </w:rPr>
                  <w:t xml:space="preserve">.8. </w:t>
                </w:r>
                <w:r w:rsidR="00476BC3" w:rsidRPr="0055696A">
                  <w:rPr>
                    <w:rFonts w:asciiTheme="majorHAnsi" w:hAnsiTheme="majorHAnsi" w:cs="Arial"/>
                    <w:szCs w:val="24"/>
                  </w:rPr>
                  <w:t>Izdaci za finansijsku imovinu</w:t>
                </w:r>
                <w:r w:rsidR="00253056" w:rsidRPr="0055696A">
                  <w:rPr>
                    <w:rFonts w:asciiTheme="majorHAnsi" w:hAnsiTheme="majorHAnsi" w:cs="Arial"/>
                    <w:szCs w:val="24"/>
                  </w:rPr>
                  <w:t xml:space="preserve"> ...</w:t>
                </w:r>
                <w:r w:rsidR="00476BC3" w:rsidRPr="0055696A">
                  <w:rPr>
                    <w:rFonts w:asciiTheme="majorHAnsi" w:hAnsiTheme="majorHAnsi" w:cs="Arial"/>
                    <w:szCs w:val="24"/>
                  </w:rPr>
                  <w:t>............</w:t>
                </w:r>
                <w:r w:rsidR="00253056" w:rsidRPr="0055696A">
                  <w:rPr>
                    <w:rFonts w:asciiTheme="majorHAnsi" w:hAnsiTheme="majorHAnsi" w:cs="Arial"/>
                    <w:szCs w:val="24"/>
                  </w:rPr>
                  <w:t>............................</w:t>
                </w:r>
                <w:r w:rsidR="004C0301" w:rsidRPr="0055696A">
                  <w:rPr>
                    <w:rFonts w:asciiTheme="majorHAnsi" w:hAnsiTheme="majorHAnsi" w:cs="Arial"/>
                    <w:szCs w:val="24"/>
                  </w:rPr>
                  <w:t>...</w:t>
                </w:r>
                <w:r w:rsidR="00253056" w:rsidRPr="0055696A">
                  <w:rPr>
                    <w:rFonts w:asciiTheme="majorHAnsi" w:hAnsiTheme="majorHAnsi" w:cs="Arial"/>
                    <w:szCs w:val="24"/>
                  </w:rPr>
                  <w:t>.................</w:t>
                </w:r>
                <w:r w:rsidR="00BE1BC8" w:rsidRPr="0055696A">
                  <w:rPr>
                    <w:rFonts w:asciiTheme="majorHAnsi" w:hAnsiTheme="majorHAnsi" w:cs="Arial"/>
                    <w:szCs w:val="24"/>
                  </w:rPr>
                  <w:t>..........................</w:t>
                </w:r>
              </w:p>
            </w:tc>
            <w:tc>
              <w:tcPr>
                <w:tcW w:w="785" w:type="dxa"/>
                <w:vAlign w:val="center"/>
              </w:tcPr>
              <w:p w:rsidR="00253056" w:rsidRPr="0055696A" w:rsidRDefault="000F5238" w:rsidP="00253056">
                <w:pPr>
                  <w:spacing w:before="120" w:after="120"/>
                  <w:jc w:val="right"/>
                  <w:rPr>
                    <w:rFonts w:asciiTheme="majorHAnsi" w:hAnsiTheme="majorHAnsi" w:cs="Arial"/>
                    <w:szCs w:val="24"/>
                  </w:rPr>
                </w:pPr>
                <w:r>
                  <w:rPr>
                    <w:rFonts w:asciiTheme="majorHAnsi" w:hAnsiTheme="majorHAnsi" w:cs="Arial"/>
                    <w:szCs w:val="24"/>
                  </w:rPr>
                  <w:t>20</w:t>
                </w:r>
              </w:p>
            </w:tc>
          </w:tr>
          <w:tr w:rsidR="00DD4D51" w:rsidRPr="0055696A" w:rsidTr="003C1A08">
            <w:trPr>
              <w:trHeight w:val="624"/>
            </w:trPr>
            <w:tc>
              <w:tcPr>
                <w:tcW w:w="646" w:type="dxa"/>
                <w:vAlign w:val="center"/>
              </w:tcPr>
              <w:p w:rsidR="00DF47EF" w:rsidRPr="0055696A" w:rsidRDefault="00DF47EF" w:rsidP="00253056">
                <w:pPr>
                  <w:spacing w:before="120" w:after="120"/>
                  <w:jc w:val="center"/>
                  <w:rPr>
                    <w:rFonts w:asciiTheme="majorHAnsi" w:hAnsiTheme="majorHAnsi" w:cs="Arial"/>
                    <w:szCs w:val="24"/>
                  </w:rPr>
                </w:pPr>
              </w:p>
            </w:tc>
            <w:tc>
              <w:tcPr>
                <w:tcW w:w="7929" w:type="dxa"/>
                <w:vAlign w:val="center"/>
              </w:tcPr>
              <w:p w:rsidR="00DF47EF" w:rsidRPr="0055696A" w:rsidRDefault="000F5238" w:rsidP="004C0301">
                <w:pPr>
                  <w:spacing w:before="120" w:after="120"/>
                  <w:jc w:val="both"/>
                  <w:rPr>
                    <w:rFonts w:asciiTheme="majorHAnsi" w:hAnsiTheme="majorHAnsi" w:cs="Arial"/>
                    <w:szCs w:val="24"/>
                  </w:rPr>
                </w:pPr>
                <w:r>
                  <w:rPr>
                    <w:rFonts w:asciiTheme="majorHAnsi" w:hAnsiTheme="majorHAnsi" w:cs="Arial"/>
                    <w:szCs w:val="24"/>
                  </w:rPr>
                  <w:t>6</w:t>
                </w:r>
                <w:r w:rsidR="00253056" w:rsidRPr="0055696A">
                  <w:rPr>
                    <w:rFonts w:asciiTheme="majorHAnsi" w:hAnsiTheme="majorHAnsi" w:cs="Arial"/>
                    <w:szCs w:val="24"/>
                  </w:rPr>
                  <w:t xml:space="preserve">.9. </w:t>
                </w:r>
                <w:r w:rsidR="00476BC3" w:rsidRPr="0055696A">
                  <w:rPr>
                    <w:rFonts w:asciiTheme="majorHAnsi" w:hAnsiTheme="majorHAnsi" w:cs="Arial"/>
                    <w:szCs w:val="24"/>
                  </w:rPr>
                  <w:t>Izdaci za o</w:t>
                </w:r>
                <w:r w:rsidR="00253056" w:rsidRPr="0055696A">
                  <w:rPr>
                    <w:rFonts w:asciiTheme="majorHAnsi" w:hAnsiTheme="majorHAnsi" w:cs="Arial"/>
                    <w:szCs w:val="24"/>
                  </w:rPr>
                  <w:t>tplate dugova ........................</w:t>
                </w:r>
                <w:r w:rsidR="004C0301" w:rsidRPr="0055696A">
                  <w:rPr>
                    <w:rFonts w:asciiTheme="majorHAnsi" w:hAnsiTheme="majorHAnsi" w:cs="Arial"/>
                    <w:szCs w:val="24"/>
                  </w:rPr>
                  <w:t>...........................</w:t>
                </w:r>
                <w:r w:rsidR="00476BC3" w:rsidRPr="0055696A">
                  <w:rPr>
                    <w:rFonts w:asciiTheme="majorHAnsi" w:hAnsiTheme="majorHAnsi" w:cs="Arial"/>
                    <w:szCs w:val="24"/>
                  </w:rPr>
                  <w:t>...........</w:t>
                </w:r>
                <w:r w:rsidR="00253056" w:rsidRPr="0055696A">
                  <w:rPr>
                    <w:rFonts w:asciiTheme="majorHAnsi" w:hAnsiTheme="majorHAnsi" w:cs="Arial"/>
                    <w:szCs w:val="24"/>
                  </w:rPr>
                  <w:t>........</w:t>
                </w:r>
                <w:r w:rsidR="00BE1BC8" w:rsidRPr="0055696A">
                  <w:rPr>
                    <w:rFonts w:asciiTheme="majorHAnsi" w:hAnsiTheme="majorHAnsi" w:cs="Arial"/>
                    <w:szCs w:val="24"/>
                  </w:rPr>
                  <w:t>.............................</w:t>
                </w:r>
              </w:p>
            </w:tc>
            <w:tc>
              <w:tcPr>
                <w:tcW w:w="785" w:type="dxa"/>
                <w:vAlign w:val="center"/>
              </w:tcPr>
              <w:p w:rsidR="00DF47EF" w:rsidRPr="0055696A" w:rsidRDefault="000F5238" w:rsidP="00253056">
                <w:pPr>
                  <w:spacing w:before="120" w:after="120"/>
                  <w:jc w:val="right"/>
                  <w:rPr>
                    <w:rFonts w:asciiTheme="majorHAnsi" w:hAnsiTheme="majorHAnsi" w:cs="Arial"/>
                    <w:szCs w:val="24"/>
                  </w:rPr>
                </w:pPr>
                <w:r>
                  <w:rPr>
                    <w:rFonts w:asciiTheme="majorHAnsi" w:hAnsiTheme="majorHAnsi" w:cs="Arial"/>
                    <w:szCs w:val="24"/>
                  </w:rPr>
                  <w:t>21</w:t>
                </w:r>
              </w:p>
            </w:tc>
          </w:tr>
        </w:tbl>
        <w:p w:rsidR="002329CE" w:rsidRPr="001F212B" w:rsidRDefault="002329CE" w:rsidP="004C0301">
          <w:pPr>
            <w:spacing w:before="120" w:after="120" w:line="240" w:lineRule="auto"/>
            <w:jc w:val="both"/>
            <w:rPr>
              <w:rFonts w:ascii="Arial" w:hAnsi="Arial" w:cs="Arial"/>
              <w:sz w:val="24"/>
              <w:szCs w:val="24"/>
              <w:highlight w:val="yellow"/>
            </w:rPr>
          </w:pPr>
        </w:p>
        <w:tbl>
          <w:tblPr>
            <w:tblpPr w:leftFromText="180" w:rightFromText="180" w:vertAnchor="text" w:horzAnchor="margin" w:tblpXSpec="center" w:tblpY="-700"/>
            <w:tblW w:w="5356" w:type="pct"/>
            <w:tblCellMar>
              <w:left w:w="360" w:type="dxa"/>
              <w:right w:w="360" w:type="dxa"/>
            </w:tblCellMar>
            <w:tblLook w:val="04A0" w:firstRow="1" w:lastRow="0" w:firstColumn="1" w:lastColumn="0" w:noHBand="0" w:noVBand="1"/>
          </w:tblPr>
          <w:tblGrid>
            <w:gridCol w:w="1171"/>
            <w:gridCol w:w="8855"/>
          </w:tblGrid>
          <w:tr w:rsidR="00CB0AC0" w:rsidRPr="001F212B" w:rsidTr="00CB0AC0">
            <w:trPr>
              <w:trHeight w:val="727"/>
            </w:trPr>
            <w:tc>
              <w:tcPr>
                <w:tcW w:w="584" w:type="pct"/>
                <w:shd w:val="clear" w:color="auto" w:fill="4F6228" w:themeFill="accent3" w:themeFillShade="80"/>
                <w:vAlign w:val="center"/>
              </w:tcPr>
              <w:p w:rsidR="00CB0AC0" w:rsidRPr="00344311" w:rsidRDefault="00CB0AC0" w:rsidP="00CB0AC0">
                <w:pPr>
                  <w:pStyle w:val="NoSpacing"/>
                  <w:jc w:val="center"/>
                  <w:rPr>
                    <w:rFonts w:asciiTheme="majorHAnsi" w:hAnsiTheme="majorHAnsi"/>
                    <w:b/>
                    <w:smallCaps/>
                    <w:sz w:val="32"/>
                    <w:szCs w:val="24"/>
                  </w:rPr>
                </w:pPr>
                <w:r w:rsidRPr="00344311">
                  <w:rPr>
                    <w:rFonts w:asciiTheme="majorHAnsi" w:hAnsiTheme="majorHAnsi"/>
                    <w:b/>
                    <w:smallCaps/>
                    <w:color w:val="FFFFFF" w:themeColor="background1"/>
                    <w:sz w:val="32"/>
                    <w:szCs w:val="24"/>
                  </w:rPr>
                  <w:lastRenderedPageBreak/>
                  <w:t>1.</w:t>
                </w:r>
              </w:p>
            </w:tc>
            <w:tc>
              <w:tcPr>
                <w:tcW w:w="4416" w:type="pct"/>
                <w:shd w:val="clear" w:color="auto" w:fill="C2D69B" w:themeFill="accent3" w:themeFillTint="99"/>
                <w:vAlign w:val="center"/>
              </w:tcPr>
              <w:p w:rsidR="00CB0AC0" w:rsidRPr="00344311" w:rsidRDefault="00CB0AC0" w:rsidP="00CB0AC0">
                <w:pPr>
                  <w:pStyle w:val="NoSpacing"/>
                  <w:rPr>
                    <w:rFonts w:asciiTheme="majorHAnsi" w:hAnsiTheme="majorHAnsi"/>
                    <w:b/>
                    <w:smallCaps/>
                    <w:color w:val="FFFFFF" w:themeColor="background1"/>
                    <w:sz w:val="32"/>
                    <w:szCs w:val="28"/>
                    <w:lang w:val="de-DE"/>
                  </w:rPr>
                </w:pPr>
                <w:r w:rsidRPr="00344311">
                  <w:rPr>
                    <w:rFonts w:asciiTheme="majorHAnsi" w:hAnsiTheme="majorHAnsi"/>
                    <w:b/>
                    <w:smallCaps/>
                    <w:sz w:val="32"/>
                    <w:szCs w:val="28"/>
                    <w:lang w:val="de-DE"/>
                  </w:rPr>
                  <w:t>UVOD</w:t>
                </w:r>
              </w:p>
            </w:tc>
          </w:tr>
        </w:tbl>
        <w:p w:rsidR="0055696A" w:rsidRDefault="0055696A" w:rsidP="0014620C">
          <w:pPr>
            <w:spacing w:after="0"/>
            <w:jc w:val="both"/>
            <w:rPr>
              <w:rFonts w:asciiTheme="majorHAnsi" w:eastAsia="Times New Roman" w:hAnsiTheme="majorHAnsi" w:cs="Arial"/>
              <w:sz w:val="24"/>
              <w:szCs w:val="24"/>
              <w:lang w:val="hr-BA"/>
            </w:rPr>
          </w:pPr>
        </w:p>
        <w:p w:rsidR="0014620C" w:rsidRDefault="0014620C" w:rsidP="0014620C">
          <w:pPr>
            <w:spacing w:after="0"/>
            <w:jc w:val="both"/>
            <w:rPr>
              <w:rFonts w:asciiTheme="majorHAnsi" w:eastAsia="Times New Roman" w:hAnsiTheme="majorHAnsi" w:cs="Arial"/>
              <w:sz w:val="24"/>
              <w:szCs w:val="24"/>
              <w:lang w:val="hr-BA"/>
            </w:rPr>
          </w:pPr>
          <w:r>
            <w:rPr>
              <w:rFonts w:asciiTheme="majorHAnsi" w:eastAsia="Times New Roman" w:hAnsiTheme="majorHAnsi" w:cs="Arial"/>
              <w:sz w:val="24"/>
              <w:szCs w:val="24"/>
              <w:lang w:val="hr-BA"/>
            </w:rPr>
            <w:t xml:space="preserve">Budžet Federacije BiH za 2016. godinu je usvojen  u iznosu od 2.598.862.123 KM. Pored redovnih prihoda od poreza i neporeznih prihoda, planirano je i vanjsko zaduživanje od Međunarodnog monetarnog fonda u </w:t>
          </w:r>
          <w:r w:rsidR="001D20AE" w:rsidRPr="001D20AE">
            <w:rPr>
              <w:rFonts w:asciiTheme="majorHAnsi" w:eastAsia="Times New Roman" w:hAnsiTheme="majorHAnsi" w:cs="Arial"/>
              <w:sz w:val="24"/>
              <w:szCs w:val="24"/>
              <w:lang w:val="hr-BA"/>
            </w:rPr>
            <w:t>okviru</w:t>
          </w:r>
          <w:r>
            <w:rPr>
              <w:rFonts w:asciiTheme="majorHAnsi" w:eastAsia="Times New Roman" w:hAnsiTheme="majorHAnsi" w:cs="Arial"/>
              <w:sz w:val="24"/>
              <w:szCs w:val="24"/>
              <w:lang w:val="hr-BA"/>
            </w:rPr>
            <w:t xml:space="preserve"> proširenog aranžmana i Svjetske banke u okviru DPL projekta u ukupno iznosu od 312,0 mil KM. Međutim, zbog kašnjenja u usaglašavanju Pisma namjere sa MMF-om i dinamike doznačavanja tranši od strane MMF-a, velika je vjerovatnoća da druga tranša sredstava od MMF-a neće biti uplaćena do kraja 2016. godine. Također, BiH nije na vrijeme ispunila uslove iz matrice politka definisanih u  okviru DPL projekta sa  Svjetskom bankom usljed čega će doći do kašnjenja u doznaci sredstava iz ovog projekta i izgledno je da će se za to stvoriti uslovi tek u narednoj  godini. </w:t>
          </w:r>
        </w:p>
        <w:p w:rsidR="0014620C" w:rsidRDefault="0014620C" w:rsidP="0014620C">
          <w:pPr>
            <w:spacing w:after="0"/>
            <w:jc w:val="both"/>
            <w:rPr>
              <w:rFonts w:asciiTheme="majorHAnsi" w:eastAsia="Times New Roman" w:hAnsiTheme="majorHAnsi" w:cs="Arial"/>
              <w:sz w:val="24"/>
              <w:szCs w:val="24"/>
              <w:lang w:val="hr-HR"/>
            </w:rPr>
          </w:pPr>
          <w:r>
            <w:rPr>
              <w:rFonts w:asciiTheme="majorHAnsi" w:eastAsia="Times New Roman" w:hAnsiTheme="majorHAnsi" w:cs="Arial"/>
              <w:sz w:val="24"/>
              <w:szCs w:val="24"/>
              <w:lang w:val="hr-HR"/>
            </w:rPr>
            <w:t xml:space="preserve">Uvažavajući predhodno navedeno, u skladu sa Zakonom o budžetima u Federaciji BiH </w:t>
          </w:r>
          <w:r w:rsidRPr="00344311">
            <w:rPr>
              <w:rFonts w:asciiTheme="majorHAnsi" w:hAnsiTheme="majorHAnsi" w:cs="Arial"/>
              <w:sz w:val="24"/>
              <w:szCs w:val="24"/>
            </w:rPr>
            <w:t>(„Službene novine Federacije BIH“, br. 102/13, 9/14, 13/14</w:t>
          </w:r>
          <w:r>
            <w:rPr>
              <w:rFonts w:asciiTheme="majorHAnsi" w:hAnsiTheme="majorHAnsi" w:cs="Arial"/>
              <w:sz w:val="24"/>
              <w:szCs w:val="24"/>
            </w:rPr>
            <w:t xml:space="preserve">, </w:t>
          </w:r>
          <w:r w:rsidRPr="00344311">
            <w:rPr>
              <w:rFonts w:asciiTheme="majorHAnsi" w:hAnsiTheme="majorHAnsi" w:cs="Arial"/>
              <w:sz w:val="24"/>
              <w:szCs w:val="24"/>
            </w:rPr>
            <w:t>8/15</w:t>
          </w:r>
          <w:r>
            <w:rPr>
              <w:rFonts w:asciiTheme="majorHAnsi" w:hAnsiTheme="majorHAnsi" w:cs="Arial"/>
              <w:sz w:val="24"/>
              <w:szCs w:val="24"/>
            </w:rPr>
            <w:t>, 91/15 i 102/15</w:t>
          </w:r>
          <w:r w:rsidRPr="00344311">
            <w:rPr>
              <w:rFonts w:asciiTheme="majorHAnsi" w:hAnsiTheme="majorHAnsi" w:cs="Arial"/>
              <w:sz w:val="24"/>
              <w:szCs w:val="24"/>
            </w:rPr>
            <w:t>)</w:t>
          </w:r>
          <w:r>
            <w:rPr>
              <w:rFonts w:asciiTheme="majorHAnsi" w:eastAsia="Times New Roman" w:hAnsiTheme="majorHAnsi" w:cs="Arial"/>
              <w:sz w:val="24"/>
              <w:szCs w:val="24"/>
              <w:lang w:val="hr-HR"/>
            </w:rPr>
            <w:t xml:space="preserve">, Vlada Federacije BiH je pokrenula aktivnosti na Izmjenama i dopunama Budžeta Federacije BiH u 2016. godini. </w:t>
          </w:r>
        </w:p>
        <w:p w:rsidR="0014620C" w:rsidRDefault="0014620C" w:rsidP="0014620C">
          <w:pPr>
            <w:spacing w:after="0"/>
            <w:jc w:val="both"/>
            <w:rPr>
              <w:rFonts w:asciiTheme="majorHAnsi" w:hAnsiTheme="majorHAnsi" w:cs="Arial"/>
              <w:sz w:val="24"/>
              <w:szCs w:val="24"/>
            </w:rPr>
          </w:pPr>
        </w:p>
        <w:p w:rsidR="0014620C" w:rsidRPr="00344311" w:rsidRDefault="0014620C" w:rsidP="0014620C">
          <w:pPr>
            <w:autoSpaceDE w:val="0"/>
            <w:autoSpaceDN w:val="0"/>
            <w:adjustRightInd w:val="0"/>
            <w:spacing w:after="0"/>
            <w:jc w:val="both"/>
            <w:rPr>
              <w:rFonts w:asciiTheme="majorHAnsi" w:hAnsiTheme="majorHAnsi" w:cs="Arial"/>
              <w:sz w:val="24"/>
              <w:szCs w:val="24"/>
            </w:rPr>
          </w:pPr>
          <w:r>
            <w:rPr>
              <w:rFonts w:asciiTheme="majorHAnsi" w:hAnsiTheme="majorHAnsi" w:cs="Arial"/>
              <w:sz w:val="24"/>
              <w:szCs w:val="24"/>
            </w:rPr>
            <w:t xml:space="preserve">Stoga je </w:t>
          </w:r>
          <w:r w:rsidRPr="00344311">
            <w:rPr>
              <w:rFonts w:asciiTheme="majorHAnsi" w:hAnsiTheme="majorHAnsi" w:cs="Arial"/>
              <w:sz w:val="24"/>
              <w:szCs w:val="24"/>
            </w:rPr>
            <w:t>Federalno ministarstvo finansija</w:t>
          </w:r>
          <w:r>
            <w:rPr>
              <w:rFonts w:asciiTheme="majorHAnsi" w:hAnsiTheme="majorHAnsi" w:cs="Arial"/>
              <w:sz w:val="24"/>
              <w:szCs w:val="24"/>
            </w:rPr>
            <w:t xml:space="preserve"> </w:t>
          </w:r>
          <w:r w:rsidRPr="00344311">
            <w:rPr>
              <w:rFonts w:asciiTheme="majorHAnsi" w:hAnsiTheme="majorHAnsi" w:cs="Arial"/>
              <w:sz w:val="24"/>
              <w:szCs w:val="24"/>
            </w:rPr>
            <w:t>pripremi</w:t>
          </w:r>
          <w:r>
            <w:rPr>
              <w:rFonts w:asciiTheme="majorHAnsi" w:hAnsiTheme="majorHAnsi" w:cs="Arial"/>
              <w:sz w:val="24"/>
              <w:szCs w:val="24"/>
            </w:rPr>
            <w:t>lo</w:t>
          </w:r>
          <w:r w:rsidRPr="00344311">
            <w:rPr>
              <w:rFonts w:asciiTheme="majorHAnsi" w:hAnsiTheme="majorHAnsi" w:cs="Arial"/>
              <w:sz w:val="24"/>
              <w:szCs w:val="24"/>
            </w:rPr>
            <w:t xml:space="preserve"> Prijedlog odluke o izmjenama i dopunama  Budžeta Federacije Bosne i Hercegovine za 201</w:t>
          </w:r>
          <w:r>
            <w:rPr>
              <w:rFonts w:asciiTheme="majorHAnsi" w:hAnsiTheme="majorHAnsi" w:cs="Arial"/>
              <w:sz w:val="24"/>
              <w:szCs w:val="24"/>
            </w:rPr>
            <w:t>6</w:t>
          </w:r>
          <w:r w:rsidRPr="00344311">
            <w:rPr>
              <w:rFonts w:asciiTheme="majorHAnsi" w:hAnsiTheme="majorHAnsi" w:cs="Arial"/>
              <w:sz w:val="24"/>
              <w:szCs w:val="24"/>
            </w:rPr>
            <w:t>. godinu. Postupak izrade ovog prijedloga odvijao se u skladu sa</w:t>
          </w:r>
          <w:r>
            <w:rPr>
              <w:rFonts w:asciiTheme="majorHAnsi" w:hAnsiTheme="majorHAnsi" w:cs="Arial"/>
              <w:sz w:val="24"/>
              <w:szCs w:val="24"/>
            </w:rPr>
            <w:t xml:space="preserve"> gore pomenutim</w:t>
          </w:r>
          <w:r w:rsidRPr="00344311">
            <w:rPr>
              <w:rFonts w:asciiTheme="majorHAnsi" w:hAnsiTheme="majorHAnsi" w:cs="Arial"/>
              <w:sz w:val="24"/>
              <w:szCs w:val="24"/>
            </w:rPr>
            <w:t xml:space="preserve"> Zakonom o budžetima u Federaciji BiH, Zakonom o izvršenju budžeta Federacije BiH</w:t>
          </w:r>
          <w:r>
            <w:rPr>
              <w:rFonts w:asciiTheme="majorHAnsi" w:hAnsiTheme="majorHAnsi" w:cs="Arial"/>
              <w:sz w:val="24"/>
              <w:szCs w:val="24"/>
            </w:rPr>
            <w:t xml:space="preserve"> za 2016.</w:t>
          </w:r>
          <w:r w:rsidRPr="00344311">
            <w:rPr>
              <w:rFonts w:asciiTheme="majorHAnsi" w:hAnsiTheme="majorHAnsi" w:cs="Arial"/>
              <w:sz w:val="24"/>
              <w:szCs w:val="24"/>
            </w:rPr>
            <w:t xml:space="preserve"> („Služben</w:t>
          </w:r>
          <w:r>
            <w:rPr>
              <w:rFonts w:asciiTheme="majorHAnsi" w:hAnsiTheme="majorHAnsi" w:cs="Arial"/>
              <w:sz w:val="24"/>
              <w:szCs w:val="24"/>
            </w:rPr>
            <w:t>e novine Federacije BIH“, broj 102</w:t>
          </w:r>
          <w:r w:rsidRPr="00344311">
            <w:rPr>
              <w:rFonts w:asciiTheme="majorHAnsi" w:hAnsiTheme="majorHAnsi" w:cs="Arial"/>
              <w:sz w:val="24"/>
              <w:szCs w:val="24"/>
            </w:rPr>
            <w:t>/15) i revidiranim projekcijama prihoda.</w:t>
          </w:r>
        </w:p>
        <w:p w:rsidR="0014620C" w:rsidRPr="00344311" w:rsidRDefault="0014620C" w:rsidP="0014620C">
          <w:pPr>
            <w:spacing w:before="240" w:after="240"/>
            <w:jc w:val="both"/>
            <w:rPr>
              <w:rFonts w:asciiTheme="majorHAnsi" w:hAnsiTheme="majorHAnsi" w:cs="Arial"/>
              <w:sz w:val="24"/>
              <w:szCs w:val="24"/>
            </w:rPr>
          </w:pPr>
          <w:r w:rsidRPr="00344311">
            <w:rPr>
              <w:rFonts w:asciiTheme="majorHAnsi" w:hAnsiTheme="majorHAnsi" w:cs="Arial"/>
              <w:sz w:val="24"/>
              <w:szCs w:val="24"/>
            </w:rPr>
            <w:t>Prilikom izrade Prijedloga odluke o izmjenama i dopunama  Budžeta Federacije Bosne i Hercegovi</w:t>
          </w:r>
          <w:r>
            <w:rPr>
              <w:rFonts w:asciiTheme="majorHAnsi" w:hAnsiTheme="majorHAnsi" w:cs="Arial"/>
              <w:sz w:val="24"/>
              <w:szCs w:val="24"/>
            </w:rPr>
            <w:t>ne za 2016</w:t>
          </w:r>
          <w:r w:rsidRPr="00344311">
            <w:rPr>
              <w:rFonts w:asciiTheme="majorHAnsi" w:hAnsiTheme="majorHAnsi" w:cs="Arial"/>
              <w:sz w:val="24"/>
              <w:szCs w:val="24"/>
            </w:rPr>
            <w:t>. godinu uzete su u obzir:</w:t>
          </w:r>
        </w:p>
        <w:p w:rsidR="0014620C" w:rsidRPr="00344311" w:rsidRDefault="0014620C" w:rsidP="0014620C">
          <w:pPr>
            <w:pStyle w:val="ListParagraph"/>
            <w:numPr>
              <w:ilvl w:val="0"/>
              <w:numId w:val="1"/>
            </w:numPr>
            <w:spacing w:before="240" w:after="240"/>
            <w:jc w:val="both"/>
            <w:rPr>
              <w:rFonts w:asciiTheme="majorHAnsi" w:hAnsiTheme="majorHAnsi" w:cs="Arial"/>
              <w:sz w:val="24"/>
              <w:szCs w:val="24"/>
            </w:rPr>
          </w:pPr>
          <w:r w:rsidRPr="00344311">
            <w:rPr>
              <w:rFonts w:asciiTheme="majorHAnsi" w:hAnsiTheme="majorHAnsi" w:cs="Arial"/>
              <w:sz w:val="24"/>
              <w:szCs w:val="24"/>
            </w:rPr>
            <w:t xml:space="preserve">Utvrđene politike Vlade Federacije BiH u okviru Programa rada Vlade FBiH za mandatni period 2015.-2018. godina. </w:t>
          </w:r>
        </w:p>
        <w:p w:rsidR="0014620C" w:rsidRPr="00344311" w:rsidRDefault="0014620C" w:rsidP="0014620C">
          <w:pPr>
            <w:pStyle w:val="ListParagraph"/>
            <w:numPr>
              <w:ilvl w:val="0"/>
              <w:numId w:val="1"/>
            </w:numPr>
            <w:spacing w:before="240" w:after="240"/>
            <w:jc w:val="both"/>
            <w:rPr>
              <w:rFonts w:asciiTheme="majorHAnsi" w:hAnsiTheme="majorHAnsi" w:cs="Arial"/>
              <w:sz w:val="24"/>
              <w:szCs w:val="24"/>
            </w:rPr>
          </w:pPr>
          <w:r w:rsidRPr="00344311">
            <w:rPr>
              <w:rFonts w:asciiTheme="majorHAnsi" w:hAnsiTheme="majorHAnsi" w:cs="Arial"/>
              <w:sz w:val="24"/>
              <w:szCs w:val="24"/>
            </w:rPr>
            <w:t>Ograničenja javne potrošnje s osnovnim ciljem održavanja stabilnog fiskalnog sistema, kontrole potrošnje, te održavanja budžetske ravnoteže;</w:t>
          </w:r>
        </w:p>
        <w:p w:rsidR="0014620C" w:rsidRPr="00344311" w:rsidRDefault="0014620C" w:rsidP="0014620C">
          <w:pPr>
            <w:pStyle w:val="ListParagraph"/>
            <w:numPr>
              <w:ilvl w:val="0"/>
              <w:numId w:val="1"/>
            </w:numPr>
            <w:spacing w:before="240" w:after="240"/>
            <w:jc w:val="both"/>
            <w:rPr>
              <w:rFonts w:asciiTheme="majorHAnsi" w:hAnsiTheme="majorHAnsi" w:cs="Arial"/>
              <w:sz w:val="24"/>
              <w:szCs w:val="24"/>
            </w:rPr>
          </w:pPr>
          <w:r w:rsidRPr="00344311">
            <w:rPr>
              <w:rFonts w:asciiTheme="majorHAnsi" w:hAnsiTheme="majorHAnsi" w:cs="Arial"/>
              <w:sz w:val="24"/>
              <w:szCs w:val="24"/>
            </w:rPr>
            <w:t>Zakona o plaćama i naknadama u organima vlasti  Federacije Bosne i Hercegovine („Službene novine Federacije BiH“, br. 45/10 i 111/12);</w:t>
          </w:r>
        </w:p>
        <w:p w:rsidR="0014620C" w:rsidRPr="00344311" w:rsidRDefault="0014620C" w:rsidP="0014620C">
          <w:pPr>
            <w:pStyle w:val="ListParagraph"/>
            <w:numPr>
              <w:ilvl w:val="0"/>
              <w:numId w:val="1"/>
            </w:numPr>
            <w:spacing w:before="240" w:after="240"/>
            <w:jc w:val="both"/>
            <w:rPr>
              <w:rFonts w:asciiTheme="majorHAnsi" w:hAnsiTheme="majorHAnsi" w:cs="Arial"/>
              <w:sz w:val="24"/>
              <w:szCs w:val="24"/>
            </w:rPr>
          </w:pPr>
          <w:r w:rsidRPr="00344311">
            <w:rPr>
              <w:rFonts w:asciiTheme="majorHAnsi" w:hAnsiTheme="majorHAnsi" w:cs="Arial"/>
              <w:sz w:val="24"/>
              <w:szCs w:val="24"/>
            </w:rPr>
            <w:t>Zakona o plaćama i naknadama policijskih službenika Federacije Bosne i Hercegovine („Službene novine Federacije BiH“, broj 45/10);</w:t>
          </w:r>
        </w:p>
        <w:p w:rsidR="0014620C" w:rsidRPr="00344311" w:rsidRDefault="0014620C" w:rsidP="0014620C">
          <w:pPr>
            <w:pStyle w:val="ListParagraph"/>
            <w:numPr>
              <w:ilvl w:val="0"/>
              <w:numId w:val="1"/>
            </w:numPr>
            <w:spacing w:before="240" w:after="240"/>
            <w:jc w:val="both"/>
            <w:rPr>
              <w:rFonts w:asciiTheme="majorHAnsi" w:hAnsiTheme="majorHAnsi" w:cs="Arial"/>
              <w:sz w:val="24"/>
              <w:szCs w:val="24"/>
            </w:rPr>
          </w:pPr>
          <w:r w:rsidRPr="00344311">
            <w:rPr>
              <w:rFonts w:asciiTheme="majorHAnsi" w:hAnsiTheme="majorHAnsi" w:cs="Arial"/>
              <w:sz w:val="24"/>
              <w:szCs w:val="24"/>
            </w:rPr>
            <w:t>Zakona o izmjenama i dopunama Zakona o plaćama i drugim naknadama sudija i tužilaca u Federaciji Bosne i Hercegovine („Službene novine Federacije BiH“, broj 55/13);</w:t>
          </w:r>
        </w:p>
        <w:p w:rsidR="0014620C" w:rsidRDefault="0014620C" w:rsidP="0014620C">
          <w:pPr>
            <w:pStyle w:val="ListParagraph"/>
            <w:numPr>
              <w:ilvl w:val="0"/>
              <w:numId w:val="1"/>
            </w:numPr>
            <w:spacing w:before="240" w:after="240"/>
            <w:jc w:val="both"/>
            <w:rPr>
              <w:rFonts w:asciiTheme="majorHAnsi" w:hAnsiTheme="majorHAnsi" w:cs="Arial"/>
              <w:sz w:val="24"/>
              <w:szCs w:val="24"/>
            </w:rPr>
          </w:pPr>
          <w:r w:rsidRPr="00344311">
            <w:rPr>
              <w:rFonts w:asciiTheme="majorHAnsi" w:hAnsiTheme="majorHAnsi" w:cs="Arial"/>
              <w:sz w:val="24"/>
              <w:szCs w:val="24"/>
            </w:rPr>
            <w:t>Ostalih zakona koje sprovode resorna ministarstva Vlade Federacije BiH.</w:t>
          </w:r>
        </w:p>
        <w:p w:rsidR="00A03F7B" w:rsidRDefault="00A03F7B" w:rsidP="0014620C">
          <w:pPr>
            <w:spacing w:before="240" w:after="240"/>
            <w:jc w:val="both"/>
            <w:rPr>
              <w:rFonts w:asciiTheme="majorHAnsi" w:hAnsiTheme="majorHAnsi" w:cs="Arial"/>
              <w:sz w:val="24"/>
              <w:szCs w:val="24"/>
            </w:rPr>
          </w:pPr>
        </w:p>
        <w:p w:rsidR="0055696A" w:rsidRDefault="0055696A" w:rsidP="0014620C">
          <w:pPr>
            <w:spacing w:before="240" w:after="240"/>
            <w:jc w:val="both"/>
            <w:rPr>
              <w:rFonts w:asciiTheme="majorHAnsi" w:hAnsiTheme="majorHAnsi" w:cs="Arial"/>
              <w:sz w:val="24"/>
              <w:szCs w:val="24"/>
            </w:rPr>
          </w:pPr>
        </w:p>
        <w:p w:rsidR="0014620C" w:rsidRPr="00301D43" w:rsidRDefault="0014620C" w:rsidP="0014620C">
          <w:pPr>
            <w:spacing w:before="240" w:after="240"/>
            <w:jc w:val="both"/>
            <w:rPr>
              <w:rFonts w:asciiTheme="majorHAnsi" w:hAnsiTheme="majorHAnsi" w:cs="Arial"/>
              <w:sz w:val="24"/>
              <w:szCs w:val="24"/>
            </w:rPr>
          </w:pPr>
          <w:r w:rsidRPr="00344311">
            <w:rPr>
              <w:rFonts w:asciiTheme="majorHAnsi" w:hAnsiTheme="majorHAnsi" w:cs="Arial"/>
              <w:sz w:val="24"/>
              <w:szCs w:val="24"/>
            </w:rPr>
            <w:lastRenderedPageBreak/>
            <w:t>U postupku izrade ovog dokumenta, Federalno ministarstvo finansija je prema svim budžetskim korisnicima uputilo Instrukcije za izradu izmjena i dopuna Budžeta Federacije Bosne i Hercegovine za 201</w:t>
          </w:r>
          <w:r>
            <w:rPr>
              <w:rFonts w:asciiTheme="majorHAnsi" w:hAnsiTheme="majorHAnsi" w:cs="Arial"/>
              <w:sz w:val="24"/>
              <w:szCs w:val="24"/>
            </w:rPr>
            <w:t>6</w:t>
          </w:r>
          <w:r w:rsidRPr="00344311">
            <w:rPr>
              <w:rFonts w:asciiTheme="majorHAnsi" w:hAnsiTheme="majorHAnsi" w:cs="Arial"/>
              <w:sz w:val="24"/>
              <w:szCs w:val="24"/>
            </w:rPr>
            <w:t>. godinu. Kroz ove instrukcije budžetski korisnici su bili obaviješteni o rokovima, procesima i zahtjevima za dostavu podataka, date im upute za metodologiju pripreme i izrade finansijskih zahtjeva, kao i način i rok dostave finansijskih zahtjeva Federalnom ministarstvu finansija za izradu izmjena i dopuna Budžeta Federacije BiH za 201</w:t>
          </w:r>
          <w:r>
            <w:rPr>
              <w:rFonts w:asciiTheme="majorHAnsi" w:hAnsiTheme="majorHAnsi" w:cs="Arial"/>
              <w:sz w:val="24"/>
              <w:szCs w:val="24"/>
            </w:rPr>
            <w:t>6</w:t>
          </w:r>
          <w:r w:rsidRPr="00344311">
            <w:rPr>
              <w:rFonts w:asciiTheme="majorHAnsi" w:hAnsiTheme="majorHAnsi" w:cs="Arial"/>
              <w:sz w:val="24"/>
              <w:szCs w:val="24"/>
            </w:rPr>
            <w:t xml:space="preserve">. godinu. Posebno je naglašeno da svi budžetski korisnici, moraju preispitati </w:t>
          </w:r>
          <w:r w:rsidRPr="00301D43">
            <w:rPr>
              <w:rFonts w:asciiTheme="majorHAnsi" w:hAnsiTheme="majorHAnsi" w:cs="Arial"/>
              <w:sz w:val="24"/>
              <w:szCs w:val="24"/>
            </w:rPr>
            <w:t>mogućnost predlaganja ušteda u sprovođenju aktivnosti i politika iz svojih resora.</w:t>
          </w:r>
        </w:p>
        <w:p w:rsidR="0014620C" w:rsidRPr="00301D43" w:rsidRDefault="00927DCD" w:rsidP="0014620C">
          <w:pPr>
            <w:spacing w:before="240" w:after="240"/>
            <w:jc w:val="both"/>
            <w:rPr>
              <w:rFonts w:asciiTheme="majorHAnsi" w:eastAsia="Times New Roman" w:hAnsiTheme="majorHAnsi" w:cs="Arial"/>
              <w:sz w:val="24"/>
              <w:szCs w:val="24"/>
              <w:lang w:val="hr-HR"/>
            </w:rPr>
          </w:pPr>
          <w:r w:rsidRPr="00301D43">
            <w:rPr>
              <w:rFonts w:asciiTheme="majorHAnsi" w:eastAsia="Times New Roman" w:hAnsiTheme="majorHAnsi" w:cs="Arial"/>
              <w:sz w:val="24"/>
              <w:szCs w:val="24"/>
              <w:lang w:val="hr-HR"/>
            </w:rPr>
            <w:t>Pored ušteda koje su realizovane</w:t>
          </w:r>
          <w:r w:rsidR="0014620C" w:rsidRPr="00301D43">
            <w:rPr>
              <w:rFonts w:asciiTheme="majorHAnsi" w:eastAsia="Times New Roman" w:hAnsiTheme="majorHAnsi" w:cs="Arial"/>
              <w:sz w:val="24"/>
              <w:szCs w:val="24"/>
              <w:lang w:val="hr-HR"/>
            </w:rPr>
            <w:t xml:space="preserve">, Izmjene i dopune Budžeta se fokusiraju na izvor finansiranja kada je riječ o zaduživanju. Suštinski, Vlada Federacije BiH </w:t>
          </w:r>
          <w:r w:rsidR="000930C3" w:rsidRPr="00301D43">
            <w:rPr>
              <w:rFonts w:asciiTheme="majorHAnsi" w:eastAsia="Times New Roman" w:hAnsiTheme="majorHAnsi" w:cs="Arial"/>
              <w:sz w:val="24"/>
              <w:szCs w:val="24"/>
              <w:lang w:val="hr-HR"/>
            </w:rPr>
            <w:t>iskazala je namjeru da</w:t>
          </w:r>
          <w:r w:rsidR="0014620C" w:rsidRPr="00301D43">
            <w:rPr>
              <w:rFonts w:asciiTheme="majorHAnsi" w:eastAsia="Times New Roman" w:hAnsiTheme="majorHAnsi" w:cs="Arial"/>
              <w:sz w:val="24"/>
              <w:szCs w:val="24"/>
              <w:lang w:val="hr-HR"/>
            </w:rPr>
            <w:t xml:space="preserve"> strane izvore fin</w:t>
          </w:r>
          <w:r w:rsidR="000930C3" w:rsidRPr="00301D43">
            <w:rPr>
              <w:rFonts w:asciiTheme="majorHAnsi" w:eastAsia="Times New Roman" w:hAnsiTheme="majorHAnsi" w:cs="Arial"/>
              <w:sz w:val="24"/>
              <w:szCs w:val="24"/>
              <w:lang w:val="hr-HR"/>
            </w:rPr>
            <w:t xml:space="preserve">ansiranja (MMF, WB) zamjeni domaćim izvorima, odnosno </w:t>
          </w:r>
          <w:r w:rsidR="0014620C" w:rsidRPr="00301D43">
            <w:rPr>
              <w:rFonts w:asciiTheme="majorHAnsi" w:eastAsia="Times New Roman" w:hAnsiTheme="majorHAnsi" w:cs="Arial"/>
              <w:sz w:val="24"/>
              <w:szCs w:val="24"/>
              <w:lang w:val="hr-HR"/>
            </w:rPr>
            <w:t>emisijom vrijednosnih papira na domaćem tržištu kapitala.</w:t>
          </w:r>
        </w:p>
        <w:p w:rsidR="008321CA" w:rsidRPr="00301D43" w:rsidRDefault="00350097" w:rsidP="000930C3">
          <w:pPr>
            <w:spacing w:before="240" w:after="240"/>
            <w:jc w:val="both"/>
            <w:rPr>
              <w:rFonts w:asciiTheme="majorHAnsi" w:hAnsiTheme="majorHAnsi" w:cs="Arial"/>
              <w:sz w:val="24"/>
              <w:szCs w:val="24"/>
            </w:rPr>
          </w:pPr>
          <w:r w:rsidRPr="00301D43">
            <w:rPr>
              <w:rFonts w:asciiTheme="majorHAnsi" w:hAnsiTheme="majorHAnsi" w:cs="Arial"/>
              <w:sz w:val="24"/>
              <w:szCs w:val="24"/>
            </w:rPr>
            <w:t xml:space="preserve">Međutim, relalizaciju pomenutih aktivnosti ograničavaju potencijalni rizici u smislu </w:t>
          </w:r>
          <w:r w:rsidR="008321CA" w:rsidRPr="00301D43">
            <w:rPr>
              <w:rFonts w:asciiTheme="majorHAnsi" w:hAnsiTheme="majorHAnsi" w:cs="Arial"/>
              <w:sz w:val="24"/>
              <w:szCs w:val="24"/>
            </w:rPr>
            <w:t>da</w:t>
          </w:r>
          <w:r w:rsidRPr="00301D43">
            <w:rPr>
              <w:rFonts w:asciiTheme="majorHAnsi" w:hAnsiTheme="majorHAnsi" w:cs="Arial"/>
              <w:sz w:val="24"/>
              <w:szCs w:val="24"/>
            </w:rPr>
            <w:t xml:space="preserve"> su</w:t>
          </w:r>
          <w:r w:rsidR="008321CA" w:rsidRPr="00301D43">
            <w:rPr>
              <w:rFonts w:asciiTheme="majorHAnsi" w:hAnsiTheme="majorHAnsi" w:cs="Arial"/>
              <w:sz w:val="24"/>
              <w:szCs w:val="24"/>
            </w:rPr>
            <w:t xml:space="preserve"> pojedini investitori (komercijalne banke) odobrene limite za izloženost prema javnom sektoru Federacije</w:t>
          </w:r>
          <w:r w:rsidR="000930C3" w:rsidRPr="00301D43">
            <w:rPr>
              <w:rFonts w:asciiTheme="majorHAnsi" w:hAnsiTheme="majorHAnsi" w:cs="Arial"/>
              <w:sz w:val="24"/>
              <w:szCs w:val="24"/>
            </w:rPr>
            <w:t xml:space="preserve"> BiH</w:t>
          </w:r>
          <w:r w:rsidR="008321CA" w:rsidRPr="00301D43">
            <w:rPr>
              <w:rFonts w:asciiTheme="majorHAnsi" w:hAnsiTheme="majorHAnsi" w:cs="Arial"/>
              <w:sz w:val="24"/>
              <w:szCs w:val="24"/>
            </w:rPr>
            <w:t xml:space="preserve"> koriste ili su već iskoristile za kratkoročno kreditiranje Federalnog zavoda za penzijsko invalidsko osiguranje</w:t>
          </w:r>
          <w:r w:rsidRPr="00301D43">
            <w:rPr>
              <w:rFonts w:asciiTheme="majorHAnsi" w:hAnsiTheme="majorHAnsi" w:cs="Arial"/>
              <w:sz w:val="24"/>
              <w:szCs w:val="24"/>
            </w:rPr>
            <w:t xml:space="preserve">. Stoga je </w:t>
          </w:r>
          <w:r w:rsidR="008321CA" w:rsidRPr="00301D43">
            <w:rPr>
              <w:rFonts w:asciiTheme="majorHAnsi" w:hAnsiTheme="majorHAnsi" w:cs="Arial"/>
              <w:sz w:val="24"/>
              <w:szCs w:val="24"/>
            </w:rPr>
            <w:t xml:space="preserve">u cilju </w:t>
          </w:r>
          <w:r w:rsidRPr="00301D43">
            <w:rPr>
              <w:rFonts w:asciiTheme="majorHAnsi" w:hAnsiTheme="majorHAnsi" w:cs="Arial"/>
              <w:sz w:val="24"/>
              <w:szCs w:val="24"/>
            </w:rPr>
            <w:t>umanjenja navedenih rizika</w:t>
          </w:r>
          <w:r w:rsidR="008321CA" w:rsidRPr="00301D43">
            <w:rPr>
              <w:rFonts w:asciiTheme="majorHAnsi" w:hAnsiTheme="majorHAnsi" w:cs="Arial"/>
              <w:sz w:val="24"/>
              <w:szCs w:val="24"/>
            </w:rPr>
            <w:t>, predl</w:t>
          </w:r>
          <w:r w:rsidRPr="00301D43">
            <w:rPr>
              <w:rFonts w:asciiTheme="majorHAnsi" w:hAnsiTheme="majorHAnsi" w:cs="Arial"/>
              <w:sz w:val="24"/>
              <w:szCs w:val="24"/>
            </w:rPr>
            <w:t>oženo</w:t>
          </w:r>
          <w:r w:rsidR="008321CA" w:rsidRPr="00301D43">
            <w:rPr>
              <w:rFonts w:asciiTheme="majorHAnsi" w:hAnsiTheme="majorHAnsi" w:cs="Arial"/>
              <w:sz w:val="24"/>
              <w:szCs w:val="24"/>
            </w:rPr>
            <w:t xml:space="preserve"> da se planirani iznos zaduženja smanji za iznos sredstava koji bi Vlada Federacije</w:t>
          </w:r>
          <w:r w:rsidRPr="00301D43">
            <w:rPr>
              <w:rFonts w:asciiTheme="majorHAnsi" w:hAnsiTheme="majorHAnsi" w:cs="Arial"/>
              <w:sz w:val="24"/>
              <w:szCs w:val="24"/>
            </w:rPr>
            <w:t xml:space="preserve"> BiH</w:t>
          </w:r>
          <w:r w:rsidR="008321CA" w:rsidRPr="00301D43">
            <w:rPr>
              <w:rFonts w:asciiTheme="majorHAnsi" w:hAnsiTheme="majorHAnsi" w:cs="Arial"/>
              <w:sz w:val="24"/>
              <w:szCs w:val="24"/>
            </w:rPr>
            <w:t xml:space="preserve"> mogla</w:t>
          </w:r>
          <w:r w:rsidRPr="00301D43">
            <w:rPr>
              <w:rFonts w:asciiTheme="majorHAnsi" w:hAnsiTheme="majorHAnsi" w:cs="Arial"/>
              <w:sz w:val="24"/>
              <w:szCs w:val="24"/>
            </w:rPr>
            <w:t xml:space="preserve"> povući sa rač</w:t>
          </w:r>
          <w:r w:rsidR="008321CA" w:rsidRPr="00301D43">
            <w:rPr>
              <w:rFonts w:asciiTheme="majorHAnsi" w:hAnsiTheme="majorHAnsi" w:cs="Arial"/>
              <w:sz w:val="24"/>
              <w:szCs w:val="24"/>
            </w:rPr>
            <w:t>una revolving fonda stvorenog u okviru Projekta poboljšanja pristupa malih i srednjih preduzeća finansijskim sredstvima koji je finansiran kreditnim sredstvima Svjetske banke. Imajući u vidu trenutnu likvidnost bankarskog sektora u Federaciji</w:t>
          </w:r>
          <w:r w:rsidR="000930C3" w:rsidRPr="00301D43">
            <w:rPr>
              <w:rFonts w:asciiTheme="majorHAnsi" w:hAnsiTheme="majorHAnsi" w:cs="Arial"/>
              <w:sz w:val="24"/>
              <w:szCs w:val="24"/>
            </w:rPr>
            <w:t xml:space="preserve"> BiH</w:t>
          </w:r>
          <w:r w:rsidR="008321CA" w:rsidRPr="00301D43">
            <w:rPr>
              <w:rFonts w:asciiTheme="majorHAnsi" w:hAnsiTheme="majorHAnsi" w:cs="Arial"/>
              <w:sz w:val="24"/>
              <w:szCs w:val="24"/>
            </w:rPr>
            <w:t>, preusmjeravanje dijela sredsta</w:t>
          </w:r>
          <w:r w:rsidR="000930C3" w:rsidRPr="00301D43">
            <w:rPr>
              <w:rFonts w:asciiTheme="majorHAnsi" w:hAnsiTheme="majorHAnsi" w:cs="Arial"/>
              <w:sz w:val="24"/>
              <w:szCs w:val="24"/>
            </w:rPr>
            <w:t>va navedenog revolving fonda u B</w:t>
          </w:r>
          <w:r w:rsidR="008321CA" w:rsidRPr="00301D43">
            <w:rPr>
              <w:rFonts w:asciiTheme="majorHAnsi" w:hAnsiTheme="majorHAnsi" w:cs="Arial"/>
              <w:sz w:val="24"/>
              <w:szCs w:val="24"/>
            </w:rPr>
            <w:t>udžet</w:t>
          </w:r>
          <w:r w:rsidR="000930C3" w:rsidRPr="00301D43">
            <w:rPr>
              <w:rFonts w:asciiTheme="majorHAnsi" w:hAnsiTheme="majorHAnsi" w:cs="Arial"/>
              <w:sz w:val="24"/>
              <w:szCs w:val="24"/>
            </w:rPr>
            <w:t xml:space="preserve"> Federacije BiH</w:t>
          </w:r>
          <w:r w:rsidR="008321CA" w:rsidRPr="00301D43">
            <w:rPr>
              <w:rFonts w:asciiTheme="majorHAnsi" w:hAnsiTheme="majorHAnsi" w:cs="Arial"/>
              <w:sz w:val="24"/>
              <w:szCs w:val="24"/>
            </w:rPr>
            <w:t xml:space="preserve">, u ovom trenutku ne bi ugrozilo dostupnost finansijskih sredstava malim i srednjim preduzećima </w:t>
          </w:r>
          <w:r w:rsidR="00927DCD" w:rsidRPr="00301D43">
            <w:rPr>
              <w:rFonts w:asciiTheme="majorHAnsi" w:hAnsiTheme="majorHAnsi" w:cs="Arial"/>
              <w:sz w:val="24"/>
              <w:szCs w:val="24"/>
            </w:rPr>
            <w:t>.</w:t>
          </w:r>
        </w:p>
        <w:p w:rsidR="0014620C" w:rsidRDefault="008321CA" w:rsidP="000930C3">
          <w:pPr>
            <w:spacing w:before="240" w:after="240"/>
            <w:jc w:val="both"/>
            <w:rPr>
              <w:rFonts w:asciiTheme="majorHAnsi" w:hAnsiTheme="majorHAnsi" w:cs="Arial"/>
              <w:sz w:val="24"/>
              <w:szCs w:val="24"/>
            </w:rPr>
          </w:pPr>
          <w:r w:rsidRPr="00301D43">
            <w:rPr>
              <w:rFonts w:asciiTheme="majorHAnsi" w:hAnsiTheme="majorHAnsi" w:cs="Arial"/>
              <w:sz w:val="24"/>
              <w:szCs w:val="24"/>
            </w:rPr>
            <w:t>Slijedom navedenog</w:t>
          </w:r>
          <w:r w:rsidR="000930C3" w:rsidRPr="00301D43">
            <w:rPr>
              <w:rFonts w:asciiTheme="majorHAnsi" w:hAnsiTheme="majorHAnsi" w:cs="Arial"/>
              <w:sz w:val="24"/>
              <w:szCs w:val="24"/>
            </w:rPr>
            <w:t>, predložen je</w:t>
          </w:r>
          <w:r w:rsidRPr="00301D43">
            <w:rPr>
              <w:rFonts w:asciiTheme="majorHAnsi" w:hAnsiTheme="majorHAnsi" w:cs="Arial"/>
              <w:sz w:val="24"/>
              <w:szCs w:val="24"/>
            </w:rPr>
            <w:t xml:space="preserve"> iznos od 50,0 mil KM iz navedenog revolving fonda</w:t>
          </w:r>
          <w:r w:rsidR="000930C3" w:rsidRPr="00301D43">
            <w:rPr>
              <w:rFonts w:asciiTheme="majorHAnsi" w:hAnsiTheme="majorHAnsi" w:cs="Arial"/>
              <w:sz w:val="24"/>
              <w:szCs w:val="24"/>
            </w:rPr>
            <w:t>, na osnovu kojeg je smanjena potreba</w:t>
          </w:r>
          <w:r w:rsidRPr="00301D43">
            <w:rPr>
              <w:rFonts w:asciiTheme="majorHAnsi" w:hAnsiTheme="majorHAnsi" w:cs="Arial"/>
              <w:sz w:val="24"/>
              <w:szCs w:val="24"/>
            </w:rPr>
            <w:t xml:space="preserve"> za zaduživanjem u ekvivalentnom iznosu.</w:t>
          </w:r>
          <w:r w:rsidR="000930C3" w:rsidRPr="00301D43">
            <w:rPr>
              <w:rFonts w:asciiTheme="majorHAnsi" w:hAnsiTheme="majorHAnsi" w:cs="Arial"/>
              <w:sz w:val="24"/>
              <w:szCs w:val="24"/>
            </w:rPr>
            <w:t xml:space="preserve"> </w:t>
          </w:r>
          <w:r w:rsidRPr="00301D43">
            <w:rPr>
              <w:rFonts w:asciiTheme="majorHAnsi" w:hAnsiTheme="majorHAnsi" w:cs="Arial"/>
              <w:sz w:val="24"/>
              <w:szCs w:val="24"/>
            </w:rPr>
            <w:t xml:space="preserve">Ostatak potrebnih sredstava u iznosu od 150,0 mil KM </w:t>
          </w:r>
          <w:r w:rsidR="000930C3" w:rsidRPr="00301D43">
            <w:rPr>
              <w:rFonts w:asciiTheme="majorHAnsi" w:hAnsiTheme="majorHAnsi" w:cs="Arial"/>
              <w:sz w:val="24"/>
              <w:szCs w:val="24"/>
            </w:rPr>
            <w:t>planiran je</w:t>
          </w:r>
          <w:r w:rsidRPr="00301D43">
            <w:rPr>
              <w:rFonts w:asciiTheme="majorHAnsi" w:hAnsiTheme="majorHAnsi" w:cs="Arial"/>
              <w:sz w:val="24"/>
              <w:szCs w:val="24"/>
            </w:rPr>
            <w:t xml:space="preserve"> na poziciji domaćeg zaduživanja (trezorski zapisi i obveznice), od čega 50,0 mil KM u formi trezorskih zapisa i 100,0 mil</w:t>
          </w:r>
          <w:r w:rsidR="000930C3" w:rsidRPr="00301D43">
            <w:rPr>
              <w:rFonts w:asciiTheme="majorHAnsi" w:hAnsiTheme="majorHAnsi" w:cs="Arial"/>
              <w:sz w:val="24"/>
              <w:szCs w:val="24"/>
            </w:rPr>
            <w:t>. KM</w:t>
          </w:r>
          <w:r w:rsidRPr="00301D43">
            <w:rPr>
              <w:rFonts w:asciiTheme="majorHAnsi" w:hAnsiTheme="majorHAnsi" w:cs="Arial"/>
              <w:sz w:val="24"/>
              <w:szCs w:val="24"/>
            </w:rPr>
            <w:t xml:space="preserve"> obveznica.</w:t>
          </w:r>
        </w:p>
        <w:p w:rsidR="000930C3" w:rsidRDefault="000930C3" w:rsidP="000930C3">
          <w:pPr>
            <w:spacing w:before="240" w:after="240"/>
            <w:jc w:val="both"/>
            <w:rPr>
              <w:rFonts w:asciiTheme="majorHAnsi" w:hAnsiTheme="majorHAnsi" w:cs="Arial"/>
              <w:sz w:val="24"/>
              <w:szCs w:val="24"/>
            </w:rPr>
          </w:pPr>
        </w:p>
        <w:p w:rsidR="00231623" w:rsidRPr="000930C3" w:rsidRDefault="00231623" w:rsidP="000930C3">
          <w:pPr>
            <w:spacing w:before="240" w:after="240"/>
            <w:jc w:val="both"/>
            <w:rPr>
              <w:rFonts w:asciiTheme="majorHAnsi" w:hAnsiTheme="majorHAnsi" w:cs="Arial"/>
              <w:sz w:val="24"/>
              <w:szCs w:val="24"/>
            </w:rPr>
          </w:pPr>
        </w:p>
        <w:p w:rsidR="00A03F7B" w:rsidRDefault="00A03F7B" w:rsidP="002E7F35">
          <w:pPr>
            <w:spacing w:after="0" w:line="240" w:lineRule="auto"/>
            <w:jc w:val="both"/>
            <w:rPr>
              <w:rFonts w:ascii="Arial" w:hAnsi="Arial" w:cs="Arial"/>
              <w:sz w:val="24"/>
              <w:highlight w:val="yellow"/>
            </w:rPr>
          </w:pPr>
        </w:p>
        <w:p w:rsidR="00A03F7B" w:rsidRDefault="00A03F7B" w:rsidP="002E7F35">
          <w:pPr>
            <w:spacing w:after="0" w:line="240" w:lineRule="auto"/>
            <w:jc w:val="both"/>
            <w:rPr>
              <w:rFonts w:ascii="Arial" w:hAnsi="Arial" w:cs="Arial"/>
              <w:sz w:val="24"/>
              <w:highlight w:val="yellow"/>
            </w:rPr>
          </w:pPr>
        </w:p>
        <w:p w:rsidR="002E7F35" w:rsidRPr="001F212B" w:rsidRDefault="00CE7DAE" w:rsidP="002E7F35">
          <w:pPr>
            <w:spacing w:after="0" w:line="240" w:lineRule="auto"/>
            <w:jc w:val="both"/>
            <w:rPr>
              <w:rFonts w:ascii="Arial" w:hAnsi="Arial" w:cs="Arial"/>
              <w:sz w:val="24"/>
              <w:highlight w:val="yellow"/>
            </w:rPr>
          </w:pPr>
        </w:p>
      </w:sdtContent>
    </w:sdt>
    <w:tbl>
      <w:tblPr>
        <w:tblpPr w:leftFromText="180" w:rightFromText="180" w:vertAnchor="text" w:horzAnchor="margin" w:tblpXSpec="center" w:tblpY="27"/>
        <w:tblW w:w="5061" w:type="pct"/>
        <w:tblCellMar>
          <w:left w:w="360" w:type="dxa"/>
          <w:right w:w="360" w:type="dxa"/>
        </w:tblCellMar>
        <w:tblLook w:val="04A0" w:firstRow="1" w:lastRow="0" w:firstColumn="1" w:lastColumn="0" w:noHBand="0" w:noVBand="1"/>
      </w:tblPr>
      <w:tblGrid>
        <w:gridCol w:w="993"/>
        <w:gridCol w:w="8481"/>
      </w:tblGrid>
      <w:tr w:rsidR="002E7F35" w:rsidRPr="00184EAF" w:rsidTr="003E7961">
        <w:trPr>
          <w:trHeight w:val="633"/>
        </w:trPr>
        <w:tc>
          <w:tcPr>
            <w:tcW w:w="524" w:type="pct"/>
            <w:shd w:val="clear" w:color="auto" w:fill="4F6228" w:themeFill="accent3" w:themeFillShade="80"/>
            <w:vAlign w:val="center"/>
          </w:tcPr>
          <w:p w:rsidR="002E7F35" w:rsidRPr="00184EAF" w:rsidRDefault="002E7F35" w:rsidP="002E7F35">
            <w:pPr>
              <w:pStyle w:val="NoSpacing"/>
              <w:jc w:val="center"/>
              <w:rPr>
                <w:rFonts w:asciiTheme="majorHAnsi" w:hAnsiTheme="majorHAnsi"/>
                <w:b/>
                <w:smallCaps/>
                <w:color w:val="FFFFFF" w:themeColor="background1"/>
                <w:sz w:val="32"/>
                <w:szCs w:val="24"/>
              </w:rPr>
            </w:pPr>
            <w:r w:rsidRPr="00184EAF">
              <w:rPr>
                <w:rFonts w:asciiTheme="majorHAnsi" w:hAnsiTheme="majorHAnsi"/>
                <w:b/>
                <w:smallCaps/>
                <w:color w:val="FFFFFF" w:themeColor="background1"/>
                <w:sz w:val="32"/>
                <w:szCs w:val="24"/>
              </w:rPr>
              <w:lastRenderedPageBreak/>
              <w:t>2.</w:t>
            </w:r>
          </w:p>
        </w:tc>
        <w:tc>
          <w:tcPr>
            <w:tcW w:w="4476" w:type="pct"/>
            <w:shd w:val="clear" w:color="auto" w:fill="C2D69B" w:themeFill="accent3" w:themeFillTint="99"/>
            <w:vAlign w:val="center"/>
          </w:tcPr>
          <w:p w:rsidR="002E7F35" w:rsidRPr="00184EAF" w:rsidRDefault="00231623" w:rsidP="00184EAF">
            <w:pPr>
              <w:pStyle w:val="NoSpacing"/>
              <w:rPr>
                <w:rFonts w:asciiTheme="majorHAnsi" w:hAnsiTheme="majorHAnsi"/>
                <w:b/>
                <w:smallCaps/>
                <w:color w:val="FFFFFF" w:themeColor="background1"/>
                <w:sz w:val="32"/>
                <w:szCs w:val="32"/>
                <w:lang w:val="de-DE"/>
              </w:rPr>
            </w:pPr>
            <w:r>
              <w:rPr>
                <w:rFonts w:asciiTheme="majorHAnsi" w:hAnsiTheme="majorHAnsi"/>
                <w:b/>
                <w:smallCaps/>
                <w:sz w:val="32"/>
                <w:szCs w:val="32"/>
                <w:lang w:val="de-DE"/>
              </w:rPr>
              <w:t>MAKROEKONOMSKI POKAZATELJI</w:t>
            </w:r>
            <w:r>
              <w:rPr>
                <w:rStyle w:val="FootnoteReference"/>
                <w:rFonts w:asciiTheme="majorHAnsi" w:hAnsiTheme="majorHAnsi"/>
                <w:b/>
                <w:smallCaps/>
                <w:sz w:val="32"/>
                <w:szCs w:val="32"/>
                <w:lang w:val="de-DE"/>
              </w:rPr>
              <w:footnoteReference w:id="1"/>
            </w:r>
          </w:p>
        </w:tc>
      </w:tr>
    </w:tbl>
    <w:p w:rsidR="002E7F35" w:rsidRPr="001F212B" w:rsidRDefault="002E7F35" w:rsidP="00152317">
      <w:pPr>
        <w:autoSpaceDE w:val="0"/>
        <w:autoSpaceDN w:val="0"/>
        <w:adjustRightInd w:val="0"/>
        <w:spacing w:after="0" w:line="240" w:lineRule="auto"/>
        <w:jc w:val="both"/>
        <w:rPr>
          <w:rFonts w:ascii="Arial" w:hAnsi="Arial" w:cs="Arial"/>
          <w:sz w:val="24"/>
          <w:szCs w:val="24"/>
          <w:highlight w:val="yellow"/>
        </w:rPr>
      </w:pPr>
    </w:p>
    <w:p w:rsidR="00231623" w:rsidRDefault="00231623" w:rsidP="00E73E0E">
      <w:pPr>
        <w:autoSpaceDE w:val="0"/>
        <w:autoSpaceDN w:val="0"/>
        <w:adjustRightInd w:val="0"/>
        <w:spacing w:after="0" w:line="240" w:lineRule="auto"/>
        <w:jc w:val="both"/>
        <w:rPr>
          <w:rFonts w:asciiTheme="majorHAnsi" w:hAnsiTheme="majorHAnsi" w:cs="Arial"/>
          <w:sz w:val="24"/>
          <w:szCs w:val="24"/>
        </w:rPr>
      </w:pPr>
    </w:p>
    <w:p w:rsidR="00073FDC" w:rsidRDefault="00073FDC" w:rsidP="009539DA">
      <w:pPr>
        <w:pStyle w:val="Default"/>
        <w:spacing w:line="276" w:lineRule="auto"/>
        <w:jc w:val="both"/>
        <w:rPr>
          <w:rFonts w:asciiTheme="majorHAnsi" w:hAnsiTheme="majorHAnsi"/>
          <w:noProof/>
          <w:color w:val="auto"/>
          <w:lang w:val="bs-Latn-BA"/>
        </w:rPr>
      </w:pPr>
    </w:p>
    <w:p w:rsidR="00073FDC" w:rsidRDefault="00073FDC" w:rsidP="009539DA">
      <w:pPr>
        <w:pStyle w:val="Default"/>
        <w:spacing w:line="276" w:lineRule="auto"/>
        <w:jc w:val="both"/>
        <w:rPr>
          <w:rFonts w:asciiTheme="majorHAnsi" w:hAnsiTheme="majorHAnsi"/>
          <w:noProof/>
          <w:color w:val="auto"/>
          <w:lang w:val="bs-Latn-BA"/>
        </w:rPr>
      </w:pPr>
    </w:p>
    <w:p w:rsidR="009539DA" w:rsidRPr="009539DA" w:rsidRDefault="009539DA" w:rsidP="009539DA">
      <w:pPr>
        <w:pStyle w:val="Default"/>
        <w:spacing w:line="276" w:lineRule="auto"/>
        <w:jc w:val="both"/>
        <w:rPr>
          <w:rFonts w:asciiTheme="majorHAnsi" w:hAnsiTheme="majorHAnsi"/>
          <w:noProof/>
          <w:color w:val="auto"/>
          <w:lang w:val="bs-Latn-BA"/>
        </w:rPr>
      </w:pPr>
      <w:r w:rsidRPr="009539DA">
        <w:rPr>
          <w:rFonts w:asciiTheme="majorHAnsi" w:hAnsiTheme="majorHAnsi"/>
          <w:noProof/>
          <w:color w:val="auto"/>
          <w:lang w:val="bs-Latn-BA"/>
        </w:rPr>
        <w:t>Makroekonomska kretanja u srednjoročnom periodu imaju uglavnom pozitivan trend, te fokus izvoznih i ekonomskih mjera BiH treba svakako usmjeriti na rast BDP-a zemalja iz okruženja i regije, iako je u istim tim zemljama u prethodnom periodu vladala makroekonomska nestabilnost. Nakon pozitivnih makroekonomskih dešavanja koja su dovela do povoljnijeg vanjskog okruženja, prestanka pada investicija, te postepenog rasta zaposlenosti nakon višegodišnjeg realnog rasta izvoza od preko 5% u prosjeku, očekuje se da bi ekonomski rast u 2016. godini trebao dostići stopu od 3,1%.  Prema ocjenama Federalnog zavoda za programiranje razvoja očekuje se da će realan rast BDP-a u FBiH u  2016. godini iznositi 2,2%.  Očekivanja su da će BDP zabilježiti realan rast u 2016. godini od 3,9%.</w:t>
      </w:r>
    </w:p>
    <w:p w:rsidR="009539DA" w:rsidRPr="009539DA" w:rsidRDefault="009539DA" w:rsidP="009539DA">
      <w:pPr>
        <w:pStyle w:val="Default"/>
        <w:jc w:val="both"/>
        <w:rPr>
          <w:rFonts w:asciiTheme="majorHAnsi" w:hAnsiTheme="majorHAnsi"/>
          <w:noProof/>
          <w:color w:val="auto"/>
          <w:lang w:val="bs-Latn-BA"/>
        </w:rPr>
      </w:pPr>
    </w:p>
    <w:p w:rsidR="009539DA" w:rsidRPr="009539DA" w:rsidRDefault="009539DA" w:rsidP="009539DA">
      <w:pPr>
        <w:pStyle w:val="NoSpacing"/>
        <w:spacing w:line="276" w:lineRule="auto"/>
        <w:jc w:val="both"/>
        <w:rPr>
          <w:rFonts w:asciiTheme="majorHAnsi" w:eastAsiaTheme="minorHAnsi" w:hAnsiTheme="majorHAnsi" w:cs="Arial"/>
          <w:noProof/>
          <w:sz w:val="24"/>
          <w:szCs w:val="24"/>
          <w:lang w:val="bs-Latn-BA"/>
        </w:rPr>
      </w:pPr>
      <w:r w:rsidRPr="009539DA">
        <w:rPr>
          <w:rFonts w:asciiTheme="majorHAnsi" w:eastAsiaTheme="minorHAnsi" w:hAnsiTheme="majorHAnsi" w:cs="Arial"/>
          <w:noProof/>
          <w:sz w:val="24"/>
          <w:szCs w:val="24"/>
          <w:lang w:val="bs-Latn-BA"/>
        </w:rPr>
        <w:t>Postepeni ekonomski oporavak u Eurozoni i zemljama regiona, koji se manifestovao kroz nešto viši nivo ekonomskog rasta u odnosu na prethodnu godinu, imao je pozitivne implikacije na industrijsku proizvodnju u Bosni i Hercegovini. BiH je tokom  prvog polugodišta 2016. godine ostvarila povećanje fizičkog obima industrijske proizvodnje od 4,6% u odnosu na isti period prethodne godine koji je istovremeno bio praćen i povećanjem broja zaposlenih. Unatoč određenim izazovima kao što je  nizak nivo cijena berzanskih roba, nastavak  trenda rasta industrijske proizvodnje u  BiH ostvaren je prevenstveno zahvaljujući izvoznoj tražnji u glavnim trgovinskim partnerima. Ovo na neki način  potvrđuje i činjenica da je rast industrijske proizvodnje ostvaren ponajviše zahvaljujući izvozno orjentiranim granama prerađivačke industrije koja je ostvarila polugodišnji rast proizvodnje od 6,3%.</w:t>
      </w:r>
    </w:p>
    <w:p w:rsidR="009539DA" w:rsidRPr="009539DA" w:rsidRDefault="009539DA" w:rsidP="009539DA">
      <w:pPr>
        <w:pStyle w:val="NoSpacing"/>
        <w:spacing w:line="276" w:lineRule="auto"/>
        <w:jc w:val="both"/>
        <w:rPr>
          <w:rFonts w:asciiTheme="majorHAnsi" w:eastAsiaTheme="minorHAnsi" w:hAnsiTheme="majorHAnsi" w:cs="Arial"/>
          <w:noProof/>
          <w:sz w:val="24"/>
          <w:szCs w:val="24"/>
          <w:lang w:val="bs-Latn-BA"/>
        </w:rPr>
      </w:pPr>
    </w:p>
    <w:p w:rsidR="009539DA" w:rsidRPr="009539DA" w:rsidRDefault="009539DA" w:rsidP="009539DA">
      <w:pPr>
        <w:pStyle w:val="NoSpacing"/>
        <w:spacing w:line="276" w:lineRule="auto"/>
        <w:jc w:val="both"/>
        <w:rPr>
          <w:rFonts w:asciiTheme="majorHAnsi" w:eastAsiaTheme="minorHAnsi" w:hAnsiTheme="majorHAnsi" w:cs="Arial"/>
          <w:noProof/>
          <w:sz w:val="24"/>
          <w:szCs w:val="24"/>
          <w:lang w:val="bs-Latn-BA"/>
        </w:rPr>
      </w:pPr>
      <w:r w:rsidRPr="009539DA">
        <w:rPr>
          <w:rFonts w:asciiTheme="majorHAnsi" w:eastAsiaTheme="minorHAnsi" w:hAnsiTheme="majorHAnsi" w:cs="Arial"/>
          <w:noProof/>
          <w:sz w:val="24"/>
          <w:szCs w:val="24"/>
          <w:lang w:val="bs-Latn-BA"/>
        </w:rPr>
        <w:t>Pored prerađivačke industrije u prvom polugodištu  2016. godine blago povećanje proizvodnje registrirano je u okviru sektora rudarstvo i  iznosilo je 2,6%, dok je značajniji doprinos sektora za proizvodnju električne energije izostao usljed stagnacije proizvodnje. Pod pretpostavkom očuvanja pozitivnog trenda u eksternom okruženju uz  dodatni doprinos internih dešavanja tokom 2016. godine u BiH se može očekivati  rast industrijske proizvodnje od  preko  4%.</w:t>
      </w:r>
    </w:p>
    <w:p w:rsidR="009539DA" w:rsidRPr="009539DA" w:rsidRDefault="009539DA" w:rsidP="009539DA">
      <w:pPr>
        <w:pStyle w:val="NoSpacing"/>
        <w:rPr>
          <w:rFonts w:asciiTheme="majorHAnsi" w:eastAsiaTheme="minorHAnsi" w:hAnsiTheme="majorHAnsi" w:cs="Arial"/>
          <w:noProof/>
          <w:sz w:val="24"/>
          <w:szCs w:val="24"/>
          <w:lang w:val="bs-Latn-BA"/>
        </w:rPr>
      </w:pPr>
    </w:p>
    <w:p w:rsidR="009539DA" w:rsidRDefault="009539DA" w:rsidP="009539DA">
      <w:pPr>
        <w:pStyle w:val="NoSpacing"/>
        <w:spacing w:line="276" w:lineRule="auto"/>
        <w:jc w:val="both"/>
        <w:rPr>
          <w:rFonts w:asciiTheme="majorHAnsi" w:eastAsiaTheme="minorHAnsi" w:hAnsiTheme="majorHAnsi" w:cs="Arial"/>
          <w:noProof/>
          <w:sz w:val="24"/>
          <w:szCs w:val="24"/>
          <w:lang w:val="bs-Latn-BA"/>
        </w:rPr>
      </w:pPr>
      <w:r w:rsidRPr="009539DA">
        <w:rPr>
          <w:rFonts w:asciiTheme="majorHAnsi" w:eastAsiaTheme="minorHAnsi" w:hAnsiTheme="majorHAnsi" w:cs="Arial"/>
          <w:noProof/>
          <w:sz w:val="24"/>
          <w:szCs w:val="24"/>
          <w:lang w:val="bs-Latn-BA"/>
        </w:rPr>
        <w:t>Prosječan broj zaposlenih lica u BiH u periodu I-VI 2016. godine je iznosio 720,5 hiljada uz stopu rasta od 1,5% g/g. Istovremeno, prosječan broj nezaposlenih lica u BiH je smanjen za 3,1% g/g. Administrativna stopa nezaposlenosti u periodu I-VI 2016. godine smanjena je za 1,1 p.p. i iznosi 42,3%. Anketna stopa nezaposlenosti je iznosila 25,4</w:t>
      </w:r>
      <w:r>
        <w:rPr>
          <w:rFonts w:asciiTheme="majorHAnsi" w:eastAsiaTheme="minorHAnsi" w:hAnsiTheme="majorHAnsi" w:cs="Arial"/>
          <w:noProof/>
          <w:sz w:val="24"/>
          <w:szCs w:val="24"/>
          <w:lang w:val="bs-Latn-BA"/>
        </w:rPr>
        <w:t xml:space="preserve">%. </w:t>
      </w:r>
    </w:p>
    <w:p w:rsidR="009539DA" w:rsidRPr="009539DA" w:rsidRDefault="009539DA" w:rsidP="009539DA">
      <w:pPr>
        <w:pStyle w:val="NoSpacing"/>
        <w:spacing w:line="276" w:lineRule="auto"/>
        <w:jc w:val="both"/>
        <w:rPr>
          <w:rFonts w:asciiTheme="majorHAnsi" w:eastAsiaTheme="minorHAnsi" w:hAnsiTheme="majorHAnsi" w:cs="Arial"/>
          <w:noProof/>
          <w:sz w:val="24"/>
          <w:szCs w:val="24"/>
          <w:lang w:val="bs-Latn-BA"/>
        </w:rPr>
      </w:pPr>
      <w:r w:rsidRPr="009539DA">
        <w:rPr>
          <w:rFonts w:asciiTheme="majorHAnsi" w:eastAsiaTheme="minorHAnsi" w:hAnsiTheme="majorHAnsi" w:cs="Arial"/>
          <w:noProof/>
          <w:sz w:val="24"/>
          <w:szCs w:val="24"/>
          <w:lang w:val="bs-Latn-BA"/>
        </w:rPr>
        <w:t xml:space="preserve">Uz povećanje broja zaposlenih lica prosječna neto plata u BiH u periodu I-VI 2016. godine je iznosila 834 KM i uvećana je za 0,6% g/g uz nešto brži realni rast (oko 2%) zbog deflacije. </w:t>
      </w:r>
      <w:r w:rsidRPr="009539DA">
        <w:rPr>
          <w:rFonts w:asciiTheme="majorHAnsi" w:eastAsiaTheme="minorHAnsi" w:hAnsiTheme="majorHAnsi" w:cs="Arial"/>
          <w:noProof/>
          <w:sz w:val="24"/>
          <w:szCs w:val="24"/>
          <w:lang w:val="bs-Latn-BA"/>
        </w:rPr>
        <w:lastRenderedPageBreak/>
        <w:t>Slično kretanje na tržištu rada BiH se očekuje do kraja godine, odnosno u BiH u 2016. godini se može očekivati rast broja zaposlenih od 1,5% uz povećanje prosječne neto plate oko 0,6% (nominalni rast). Imajući u vidu planirane aktivnosti Vlade Federacije BiH, očekuje se da bi ukupan broj zaposlenih u Federaciji BiH mogao dostići stopu rasta od 1,1% u 2016. godini, te se očekuje smanjenje broja nezaposlenih u 2016. godini za 0,5%.</w:t>
      </w:r>
    </w:p>
    <w:p w:rsidR="009539DA" w:rsidRPr="009539DA" w:rsidRDefault="009539DA" w:rsidP="009539DA">
      <w:pPr>
        <w:pStyle w:val="Default"/>
        <w:rPr>
          <w:rFonts w:asciiTheme="majorHAnsi" w:hAnsiTheme="majorHAnsi"/>
          <w:noProof/>
          <w:color w:val="auto"/>
          <w:lang w:val="bs-Latn-BA"/>
        </w:rPr>
      </w:pPr>
    </w:p>
    <w:p w:rsidR="009539DA" w:rsidRPr="009539DA" w:rsidRDefault="009539DA" w:rsidP="009539DA">
      <w:pPr>
        <w:pStyle w:val="Default"/>
        <w:spacing w:line="276" w:lineRule="auto"/>
        <w:jc w:val="both"/>
        <w:rPr>
          <w:rFonts w:asciiTheme="majorHAnsi" w:hAnsiTheme="majorHAnsi"/>
          <w:noProof/>
          <w:color w:val="auto"/>
          <w:lang w:val="bs-Latn-BA"/>
        </w:rPr>
      </w:pPr>
      <w:r w:rsidRPr="009539DA">
        <w:rPr>
          <w:rFonts w:asciiTheme="majorHAnsi" w:hAnsiTheme="majorHAnsi"/>
          <w:noProof/>
          <w:color w:val="auto"/>
          <w:lang w:val="bs-Latn-BA"/>
        </w:rPr>
        <w:t>U periodu I-VII 2016. godine nastavljen je trend smanjenja opšteg nivoa cijena u BiH (deflacija 1,3%). Niže cijene energenata na svjetskom tržištu (prvenstveno nafte) i hrane su značajno determinisale kretanje cijena u BiH, te je najveći doprinos deflaciji bio u odjeljcima prevoza, odjeće i obuće, hrane i bezalkoholnih pića.</w:t>
      </w:r>
    </w:p>
    <w:p w:rsidR="009539DA" w:rsidRPr="009539DA" w:rsidRDefault="009539DA" w:rsidP="009539DA">
      <w:pPr>
        <w:pStyle w:val="Default"/>
        <w:spacing w:line="276" w:lineRule="auto"/>
        <w:jc w:val="both"/>
        <w:rPr>
          <w:rFonts w:asciiTheme="majorHAnsi" w:hAnsiTheme="majorHAnsi"/>
          <w:noProof/>
          <w:color w:val="auto"/>
          <w:lang w:val="bs-Latn-BA"/>
        </w:rPr>
      </w:pPr>
    </w:p>
    <w:p w:rsidR="009539DA" w:rsidRPr="009539DA" w:rsidRDefault="009539DA" w:rsidP="009539DA">
      <w:pPr>
        <w:autoSpaceDE w:val="0"/>
        <w:autoSpaceDN w:val="0"/>
        <w:adjustRightInd w:val="0"/>
        <w:spacing w:after="0"/>
        <w:jc w:val="both"/>
        <w:rPr>
          <w:rFonts w:asciiTheme="majorHAnsi" w:hAnsiTheme="majorHAnsi" w:cs="Arial"/>
          <w:sz w:val="24"/>
          <w:szCs w:val="24"/>
        </w:rPr>
      </w:pPr>
      <w:r w:rsidRPr="009539DA">
        <w:rPr>
          <w:rFonts w:asciiTheme="majorHAnsi" w:hAnsiTheme="majorHAnsi" w:cs="Arial"/>
          <w:sz w:val="24"/>
          <w:szCs w:val="24"/>
        </w:rPr>
        <w:t>Federacija BiH je u periodu I-VII 2016 ostvarila izvoz u ukupnoj vrijednosti 3.539.629 hiljada KM, što je za 1,6% manje u odnosu na isti period prethodne godine. Vrijednost izvoza za juli 2016. iznosi 502.487 hiljada KM, što je za 8,9% manje u odnosu na isti mjesec prethodne godine, a 11,8% manje u odnosu na juni 2016. Uvoz Federacije BiH u periodu I-VII 2016 iznosio je 6.153.702 hiljada KM, što je za 0,1% manje u odnosu na isti period prethodne godine. Vrijednost uvoza za juli 2016. iznosi 894.206 hiljada KM, što je za 8,8% manje u odnosu isti mjesec prethodne godine, a 7,1% manje u odnosu na juni 2016. Procenat pokrivenosti uvoza izvozom Federacije BiH za period I-VII 2016 je 57,5% i manji je za 0,9% u odnosu na isti period prethodne godine kada je pokrivenost iznosila 58,4%, odnosno manji za 0,2% u odnosu na period I-VI 2016., kada je pokrivenost iznosila 57,7%.</w:t>
      </w:r>
    </w:p>
    <w:p w:rsidR="009539DA" w:rsidRPr="009539DA" w:rsidRDefault="009539DA" w:rsidP="009539DA">
      <w:pPr>
        <w:autoSpaceDE w:val="0"/>
        <w:autoSpaceDN w:val="0"/>
        <w:adjustRightInd w:val="0"/>
        <w:spacing w:after="0"/>
        <w:jc w:val="both"/>
        <w:rPr>
          <w:rFonts w:asciiTheme="majorHAnsi" w:hAnsiTheme="majorHAnsi" w:cs="Arial"/>
          <w:sz w:val="24"/>
          <w:szCs w:val="24"/>
        </w:rPr>
      </w:pPr>
    </w:p>
    <w:p w:rsidR="009539DA" w:rsidRDefault="009539DA" w:rsidP="009539DA">
      <w:pPr>
        <w:autoSpaceDE w:val="0"/>
        <w:autoSpaceDN w:val="0"/>
        <w:adjustRightInd w:val="0"/>
        <w:spacing w:after="0"/>
        <w:jc w:val="both"/>
        <w:rPr>
          <w:rFonts w:asciiTheme="majorHAnsi" w:hAnsiTheme="majorHAnsi" w:cs="Arial"/>
          <w:sz w:val="24"/>
          <w:szCs w:val="24"/>
        </w:rPr>
      </w:pPr>
      <w:r w:rsidRPr="009539DA">
        <w:rPr>
          <w:rFonts w:asciiTheme="majorHAnsi" w:hAnsiTheme="majorHAnsi" w:cs="Arial"/>
          <w:sz w:val="24"/>
          <w:szCs w:val="24"/>
        </w:rPr>
        <w:t>SDU u 2016. godini bi iznosila oko 2,3% BDP. Najavljena je izgradnja više projekata iz oblasti elektroenergetike, turizma uz izgradnju rezidencijalnih i rekreativnih</w:t>
      </w:r>
      <w:r w:rsidR="00927DCD">
        <w:rPr>
          <w:rFonts w:asciiTheme="majorHAnsi" w:hAnsiTheme="majorHAnsi" w:cs="Arial"/>
          <w:sz w:val="24"/>
          <w:szCs w:val="24"/>
        </w:rPr>
        <w:t xml:space="preserve"> objekata. </w:t>
      </w:r>
    </w:p>
    <w:p w:rsidR="00927DCD" w:rsidRDefault="00927DCD" w:rsidP="009539DA">
      <w:pPr>
        <w:autoSpaceDE w:val="0"/>
        <w:autoSpaceDN w:val="0"/>
        <w:adjustRightInd w:val="0"/>
        <w:spacing w:after="0"/>
        <w:jc w:val="both"/>
        <w:rPr>
          <w:rFonts w:asciiTheme="majorHAnsi" w:hAnsiTheme="majorHAnsi" w:cs="Arial"/>
          <w:sz w:val="24"/>
          <w:szCs w:val="24"/>
        </w:rPr>
      </w:pPr>
    </w:p>
    <w:p w:rsidR="00927DCD" w:rsidRDefault="00927DCD" w:rsidP="009539DA">
      <w:pPr>
        <w:autoSpaceDE w:val="0"/>
        <w:autoSpaceDN w:val="0"/>
        <w:adjustRightInd w:val="0"/>
        <w:spacing w:after="0"/>
        <w:jc w:val="both"/>
        <w:rPr>
          <w:rFonts w:asciiTheme="majorHAnsi" w:hAnsiTheme="majorHAnsi" w:cs="Arial"/>
          <w:sz w:val="24"/>
          <w:szCs w:val="24"/>
        </w:rPr>
      </w:pPr>
    </w:p>
    <w:p w:rsidR="00927DCD" w:rsidRDefault="00927DCD" w:rsidP="009539DA">
      <w:pPr>
        <w:autoSpaceDE w:val="0"/>
        <w:autoSpaceDN w:val="0"/>
        <w:adjustRightInd w:val="0"/>
        <w:spacing w:after="0"/>
        <w:jc w:val="both"/>
        <w:rPr>
          <w:rFonts w:asciiTheme="majorHAnsi" w:hAnsiTheme="majorHAnsi" w:cs="Arial"/>
          <w:sz w:val="24"/>
          <w:szCs w:val="24"/>
        </w:rPr>
      </w:pPr>
    </w:p>
    <w:p w:rsidR="00927DCD" w:rsidRDefault="00927DCD" w:rsidP="009539DA">
      <w:pPr>
        <w:autoSpaceDE w:val="0"/>
        <w:autoSpaceDN w:val="0"/>
        <w:adjustRightInd w:val="0"/>
        <w:spacing w:after="0"/>
        <w:jc w:val="both"/>
        <w:rPr>
          <w:rFonts w:asciiTheme="majorHAnsi" w:hAnsiTheme="majorHAnsi" w:cs="Arial"/>
          <w:sz w:val="24"/>
          <w:szCs w:val="24"/>
        </w:rPr>
      </w:pPr>
    </w:p>
    <w:p w:rsidR="00927DCD" w:rsidRDefault="00927DCD" w:rsidP="009539DA">
      <w:pPr>
        <w:autoSpaceDE w:val="0"/>
        <w:autoSpaceDN w:val="0"/>
        <w:adjustRightInd w:val="0"/>
        <w:spacing w:after="0"/>
        <w:jc w:val="both"/>
        <w:rPr>
          <w:rFonts w:asciiTheme="majorHAnsi" w:hAnsiTheme="majorHAnsi" w:cs="Arial"/>
          <w:sz w:val="24"/>
          <w:szCs w:val="24"/>
        </w:rPr>
      </w:pPr>
    </w:p>
    <w:p w:rsidR="00073FDC" w:rsidRDefault="00073FDC" w:rsidP="009539DA">
      <w:pPr>
        <w:autoSpaceDE w:val="0"/>
        <w:autoSpaceDN w:val="0"/>
        <w:adjustRightInd w:val="0"/>
        <w:spacing w:after="0"/>
        <w:jc w:val="both"/>
        <w:rPr>
          <w:rFonts w:asciiTheme="majorHAnsi" w:hAnsiTheme="majorHAnsi" w:cs="Arial"/>
          <w:sz w:val="24"/>
          <w:szCs w:val="24"/>
        </w:rPr>
      </w:pPr>
    </w:p>
    <w:p w:rsidR="00927DCD" w:rsidRDefault="00927DCD" w:rsidP="009539DA">
      <w:pPr>
        <w:autoSpaceDE w:val="0"/>
        <w:autoSpaceDN w:val="0"/>
        <w:adjustRightInd w:val="0"/>
        <w:spacing w:after="0"/>
        <w:jc w:val="both"/>
        <w:rPr>
          <w:rFonts w:asciiTheme="majorHAnsi" w:hAnsiTheme="majorHAnsi" w:cs="Arial"/>
          <w:sz w:val="24"/>
          <w:szCs w:val="24"/>
        </w:rPr>
      </w:pPr>
    </w:p>
    <w:p w:rsidR="00927DCD" w:rsidRPr="009539DA" w:rsidRDefault="00927DCD" w:rsidP="009539DA">
      <w:pPr>
        <w:autoSpaceDE w:val="0"/>
        <w:autoSpaceDN w:val="0"/>
        <w:adjustRightInd w:val="0"/>
        <w:spacing w:after="0"/>
        <w:jc w:val="both"/>
        <w:rPr>
          <w:rFonts w:asciiTheme="majorHAnsi" w:hAnsiTheme="majorHAnsi" w:cs="Arial"/>
          <w:sz w:val="24"/>
          <w:szCs w:val="24"/>
        </w:rPr>
      </w:pPr>
    </w:p>
    <w:p w:rsidR="009539DA" w:rsidRPr="009539DA" w:rsidRDefault="009539DA" w:rsidP="009539DA">
      <w:pPr>
        <w:autoSpaceDE w:val="0"/>
        <w:autoSpaceDN w:val="0"/>
        <w:adjustRightInd w:val="0"/>
        <w:spacing w:after="0"/>
        <w:jc w:val="both"/>
        <w:rPr>
          <w:rFonts w:asciiTheme="majorHAnsi" w:hAnsiTheme="majorHAnsi" w:cs="Arial"/>
          <w:sz w:val="24"/>
          <w:szCs w:val="24"/>
        </w:rPr>
      </w:pPr>
    </w:p>
    <w:p w:rsidR="00231623" w:rsidRDefault="00231623" w:rsidP="00E73E0E">
      <w:pPr>
        <w:autoSpaceDE w:val="0"/>
        <w:autoSpaceDN w:val="0"/>
        <w:adjustRightInd w:val="0"/>
        <w:spacing w:after="0" w:line="240" w:lineRule="auto"/>
        <w:jc w:val="both"/>
        <w:rPr>
          <w:rFonts w:asciiTheme="majorHAnsi" w:hAnsiTheme="majorHAnsi" w:cs="Arial"/>
          <w:sz w:val="24"/>
          <w:szCs w:val="24"/>
        </w:rPr>
      </w:pPr>
    </w:p>
    <w:p w:rsidR="00231623" w:rsidRDefault="00231623" w:rsidP="00E73E0E">
      <w:pPr>
        <w:autoSpaceDE w:val="0"/>
        <w:autoSpaceDN w:val="0"/>
        <w:adjustRightInd w:val="0"/>
        <w:spacing w:after="0" w:line="240" w:lineRule="auto"/>
        <w:jc w:val="both"/>
        <w:rPr>
          <w:rFonts w:asciiTheme="majorHAnsi" w:hAnsiTheme="majorHAnsi" w:cs="Arial"/>
          <w:sz w:val="24"/>
          <w:szCs w:val="24"/>
        </w:rPr>
      </w:pPr>
    </w:p>
    <w:p w:rsidR="00231623" w:rsidRDefault="00231623" w:rsidP="00E73E0E">
      <w:pPr>
        <w:autoSpaceDE w:val="0"/>
        <w:autoSpaceDN w:val="0"/>
        <w:adjustRightInd w:val="0"/>
        <w:spacing w:after="0" w:line="240" w:lineRule="auto"/>
        <w:jc w:val="both"/>
        <w:rPr>
          <w:rFonts w:asciiTheme="majorHAnsi" w:hAnsiTheme="majorHAnsi" w:cs="Arial"/>
          <w:sz w:val="24"/>
          <w:szCs w:val="24"/>
        </w:rPr>
      </w:pPr>
    </w:p>
    <w:p w:rsidR="00231623" w:rsidRDefault="00231623" w:rsidP="00E73E0E">
      <w:pPr>
        <w:autoSpaceDE w:val="0"/>
        <w:autoSpaceDN w:val="0"/>
        <w:adjustRightInd w:val="0"/>
        <w:spacing w:after="0" w:line="240" w:lineRule="auto"/>
        <w:jc w:val="both"/>
        <w:rPr>
          <w:rFonts w:asciiTheme="majorHAnsi" w:hAnsiTheme="majorHAnsi" w:cs="Arial"/>
          <w:sz w:val="24"/>
          <w:szCs w:val="24"/>
        </w:rPr>
      </w:pPr>
    </w:p>
    <w:p w:rsidR="00231623" w:rsidRDefault="00231623" w:rsidP="00E73E0E">
      <w:pPr>
        <w:autoSpaceDE w:val="0"/>
        <w:autoSpaceDN w:val="0"/>
        <w:adjustRightInd w:val="0"/>
        <w:spacing w:after="0" w:line="240" w:lineRule="auto"/>
        <w:jc w:val="both"/>
        <w:rPr>
          <w:rFonts w:asciiTheme="majorHAnsi" w:hAnsiTheme="majorHAnsi" w:cs="Arial"/>
          <w:sz w:val="24"/>
          <w:szCs w:val="24"/>
        </w:rPr>
      </w:pPr>
    </w:p>
    <w:tbl>
      <w:tblPr>
        <w:tblpPr w:leftFromText="180" w:rightFromText="180" w:vertAnchor="text" w:horzAnchor="margin" w:tblpXSpec="center" w:tblpY="27"/>
        <w:tblW w:w="5061" w:type="pct"/>
        <w:tblCellMar>
          <w:left w:w="360" w:type="dxa"/>
          <w:right w:w="360" w:type="dxa"/>
        </w:tblCellMar>
        <w:tblLook w:val="04A0" w:firstRow="1" w:lastRow="0" w:firstColumn="1" w:lastColumn="0" w:noHBand="0" w:noVBand="1"/>
      </w:tblPr>
      <w:tblGrid>
        <w:gridCol w:w="993"/>
        <w:gridCol w:w="8481"/>
      </w:tblGrid>
      <w:tr w:rsidR="00231623" w:rsidRPr="00184EAF" w:rsidTr="00AF18E7">
        <w:trPr>
          <w:trHeight w:val="633"/>
        </w:trPr>
        <w:tc>
          <w:tcPr>
            <w:tcW w:w="524" w:type="pct"/>
            <w:shd w:val="clear" w:color="auto" w:fill="4F6228" w:themeFill="accent3" w:themeFillShade="80"/>
            <w:vAlign w:val="center"/>
          </w:tcPr>
          <w:p w:rsidR="00231623" w:rsidRPr="00184EAF" w:rsidRDefault="00231623" w:rsidP="00AF18E7">
            <w:pPr>
              <w:pStyle w:val="NoSpacing"/>
              <w:jc w:val="center"/>
              <w:rPr>
                <w:rFonts w:asciiTheme="majorHAnsi" w:hAnsiTheme="majorHAnsi"/>
                <w:b/>
                <w:smallCaps/>
                <w:color w:val="FFFFFF" w:themeColor="background1"/>
                <w:sz w:val="32"/>
                <w:szCs w:val="24"/>
              </w:rPr>
            </w:pPr>
            <w:r>
              <w:rPr>
                <w:rFonts w:asciiTheme="majorHAnsi" w:hAnsiTheme="majorHAnsi"/>
                <w:b/>
                <w:smallCaps/>
                <w:color w:val="FFFFFF" w:themeColor="background1"/>
                <w:sz w:val="32"/>
                <w:szCs w:val="24"/>
              </w:rPr>
              <w:lastRenderedPageBreak/>
              <w:t>3</w:t>
            </w:r>
            <w:r w:rsidRPr="00184EAF">
              <w:rPr>
                <w:rFonts w:asciiTheme="majorHAnsi" w:hAnsiTheme="majorHAnsi"/>
                <w:b/>
                <w:smallCaps/>
                <w:color w:val="FFFFFF" w:themeColor="background1"/>
                <w:sz w:val="32"/>
                <w:szCs w:val="24"/>
              </w:rPr>
              <w:t>.</w:t>
            </w:r>
          </w:p>
        </w:tc>
        <w:tc>
          <w:tcPr>
            <w:tcW w:w="4476" w:type="pct"/>
            <w:shd w:val="clear" w:color="auto" w:fill="C2D69B" w:themeFill="accent3" w:themeFillTint="99"/>
            <w:vAlign w:val="center"/>
          </w:tcPr>
          <w:p w:rsidR="00231623" w:rsidRPr="00184EAF" w:rsidRDefault="00231623" w:rsidP="00AF18E7">
            <w:pPr>
              <w:pStyle w:val="NoSpacing"/>
              <w:rPr>
                <w:rFonts w:asciiTheme="majorHAnsi" w:hAnsiTheme="majorHAnsi"/>
                <w:b/>
                <w:smallCaps/>
                <w:color w:val="FFFFFF" w:themeColor="background1"/>
                <w:sz w:val="32"/>
                <w:szCs w:val="32"/>
                <w:lang w:val="de-DE"/>
              </w:rPr>
            </w:pPr>
            <w:r w:rsidRPr="00184EAF">
              <w:rPr>
                <w:rFonts w:asciiTheme="majorHAnsi" w:hAnsiTheme="majorHAnsi"/>
                <w:b/>
                <w:smallCaps/>
                <w:sz w:val="32"/>
                <w:szCs w:val="32"/>
                <w:lang w:val="de-DE"/>
              </w:rPr>
              <w:t>STRUKTURA P</w:t>
            </w:r>
            <w:r>
              <w:rPr>
                <w:rFonts w:asciiTheme="majorHAnsi" w:hAnsiTheme="majorHAnsi"/>
                <w:b/>
                <w:smallCaps/>
                <w:sz w:val="32"/>
                <w:szCs w:val="32"/>
                <w:lang w:val="de-DE"/>
              </w:rPr>
              <w:t>RIJEDLOGA</w:t>
            </w:r>
            <w:r w:rsidRPr="00184EAF">
              <w:rPr>
                <w:rFonts w:asciiTheme="majorHAnsi" w:hAnsiTheme="majorHAnsi"/>
                <w:b/>
                <w:smallCaps/>
                <w:sz w:val="32"/>
                <w:szCs w:val="32"/>
                <w:lang w:val="de-DE"/>
              </w:rPr>
              <w:t xml:space="preserve"> ODLUKE O IZMJENAMA I DOPUNAMA </w:t>
            </w:r>
            <w:r>
              <w:rPr>
                <w:rFonts w:asciiTheme="majorHAnsi" w:hAnsiTheme="majorHAnsi"/>
                <w:b/>
                <w:smallCaps/>
                <w:sz w:val="32"/>
                <w:szCs w:val="32"/>
                <w:lang w:val="de-DE"/>
              </w:rPr>
              <w:t>B</w:t>
            </w:r>
            <w:r w:rsidRPr="00184EAF">
              <w:rPr>
                <w:rFonts w:asciiTheme="majorHAnsi" w:hAnsiTheme="majorHAnsi"/>
                <w:b/>
                <w:smallCaps/>
                <w:sz w:val="32"/>
                <w:szCs w:val="32"/>
                <w:lang w:val="de-DE"/>
              </w:rPr>
              <w:t>UDŽETA FEDERACIJE BIH ZA 201</w:t>
            </w:r>
            <w:r>
              <w:rPr>
                <w:rFonts w:asciiTheme="majorHAnsi" w:hAnsiTheme="majorHAnsi"/>
                <w:b/>
                <w:smallCaps/>
                <w:sz w:val="32"/>
                <w:szCs w:val="32"/>
                <w:lang w:val="de-DE"/>
              </w:rPr>
              <w:t>6</w:t>
            </w:r>
            <w:r w:rsidRPr="00184EAF">
              <w:rPr>
                <w:rFonts w:asciiTheme="majorHAnsi" w:hAnsiTheme="majorHAnsi"/>
                <w:b/>
                <w:smallCaps/>
                <w:sz w:val="32"/>
                <w:szCs w:val="32"/>
                <w:lang w:val="de-DE"/>
              </w:rPr>
              <w:t>.</w:t>
            </w:r>
            <w:r>
              <w:rPr>
                <w:rFonts w:asciiTheme="majorHAnsi" w:hAnsiTheme="majorHAnsi"/>
                <w:b/>
                <w:smallCaps/>
                <w:sz w:val="32"/>
                <w:szCs w:val="32"/>
                <w:lang w:val="de-DE"/>
              </w:rPr>
              <w:t xml:space="preserve"> </w:t>
            </w:r>
            <w:r w:rsidRPr="00184EAF">
              <w:rPr>
                <w:rFonts w:asciiTheme="majorHAnsi" w:hAnsiTheme="majorHAnsi"/>
                <w:b/>
                <w:smallCaps/>
                <w:sz w:val="32"/>
                <w:szCs w:val="32"/>
                <w:lang w:val="de-DE"/>
              </w:rPr>
              <w:t>GODINU</w:t>
            </w:r>
          </w:p>
        </w:tc>
      </w:tr>
    </w:tbl>
    <w:p w:rsidR="0055696A" w:rsidRDefault="0055696A" w:rsidP="00E73E0E">
      <w:pPr>
        <w:autoSpaceDE w:val="0"/>
        <w:autoSpaceDN w:val="0"/>
        <w:adjustRightInd w:val="0"/>
        <w:spacing w:after="0" w:line="240" w:lineRule="auto"/>
        <w:jc w:val="both"/>
        <w:rPr>
          <w:rFonts w:asciiTheme="majorHAnsi" w:hAnsiTheme="majorHAnsi" w:cs="Arial"/>
          <w:sz w:val="24"/>
          <w:szCs w:val="24"/>
        </w:rPr>
      </w:pPr>
    </w:p>
    <w:p w:rsidR="00073FDC" w:rsidRDefault="00073FDC" w:rsidP="00E73E0E">
      <w:pPr>
        <w:autoSpaceDE w:val="0"/>
        <w:autoSpaceDN w:val="0"/>
        <w:adjustRightInd w:val="0"/>
        <w:spacing w:after="0" w:line="240" w:lineRule="auto"/>
        <w:jc w:val="both"/>
        <w:rPr>
          <w:rFonts w:asciiTheme="majorHAnsi" w:hAnsiTheme="majorHAnsi" w:cs="Arial"/>
          <w:sz w:val="24"/>
          <w:szCs w:val="24"/>
        </w:rPr>
      </w:pPr>
    </w:p>
    <w:p w:rsidR="00073FDC" w:rsidRDefault="00073FDC" w:rsidP="00E73E0E">
      <w:pPr>
        <w:autoSpaceDE w:val="0"/>
        <w:autoSpaceDN w:val="0"/>
        <w:adjustRightInd w:val="0"/>
        <w:spacing w:after="0" w:line="240" w:lineRule="auto"/>
        <w:jc w:val="both"/>
        <w:rPr>
          <w:rFonts w:asciiTheme="majorHAnsi" w:hAnsiTheme="majorHAnsi" w:cs="Arial"/>
          <w:sz w:val="24"/>
          <w:szCs w:val="24"/>
        </w:rPr>
      </w:pPr>
    </w:p>
    <w:p w:rsidR="00073FDC" w:rsidRDefault="00073FDC" w:rsidP="00E73E0E">
      <w:pPr>
        <w:autoSpaceDE w:val="0"/>
        <w:autoSpaceDN w:val="0"/>
        <w:adjustRightInd w:val="0"/>
        <w:spacing w:after="0" w:line="240" w:lineRule="auto"/>
        <w:jc w:val="both"/>
        <w:rPr>
          <w:rFonts w:asciiTheme="majorHAnsi" w:hAnsiTheme="majorHAnsi" w:cs="Arial"/>
          <w:sz w:val="24"/>
          <w:szCs w:val="24"/>
        </w:rPr>
      </w:pPr>
    </w:p>
    <w:p w:rsidR="00E73E0E" w:rsidRPr="00ED2F98" w:rsidRDefault="003E7961" w:rsidP="00E73E0E">
      <w:pPr>
        <w:autoSpaceDE w:val="0"/>
        <w:autoSpaceDN w:val="0"/>
        <w:adjustRightInd w:val="0"/>
        <w:spacing w:after="0" w:line="240" w:lineRule="auto"/>
        <w:jc w:val="both"/>
        <w:rPr>
          <w:rFonts w:asciiTheme="majorHAnsi" w:hAnsiTheme="majorHAnsi" w:cs="Arial"/>
          <w:sz w:val="24"/>
          <w:szCs w:val="24"/>
          <w:lang w:val="en-US"/>
        </w:rPr>
      </w:pPr>
      <w:r w:rsidRPr="00ED2F98">
        <w:rPr>
          <w:rFonts w:asciiTheme="majorHAnsi" w:hAnsiTheme="majorHAnsi" w:cs="Arial"/>
          <w:sz w:val="24"/>
          <w:szCs w:val="24"/>
        </w:rPr>
        <w:t>Prijedlog</w:t>
      </w:r>
      <w:r w:rsidR="00184EAF" w:rsidRPr="00ED2F98">
        <w:rPr>
          <w:rFonts w:asciiTheme="majorHAnsi" w:hAnsiTheme="majorHAnsi" w:cs="Arial"/>
          <w:sz w:val="24"/>
          <w:szCs w:val="24"/>
        </w:rPr>
        <w:t xml:space="preserve"> </w:t>
      </w:r>
      <w:r w:rsidRPr="00ED2F98">
        <w:rPr>
          <w:rFonts w:asciiTheme="majorHAnsi" w:hAnsiTheme="majorHAnsi" w:cs="Arial"/>
          <w:sz w:val="24"/>
          <w:szCs w:val="24"/>
        </w:rPr>
        <w:t>odluke o izmjenama i dopunama</w:t>
      </w:r>
      <w:r w:rsidR="00184EAF" w:rsidRPr="00ED2F98">
        <w:rPr>
          <w:rFonts w:asciiTheme="majorHAnsi" w:hAnsiTheme="majorHAnsi" w:cs="Arial"/>
          <w:sz w:val="24"/>
          <w:szCs w:val="24"/>
        </w:rPr>
        <w:t xml:space="preserve"> </w:t>
      </w:r>
      <w:r w:rsidRPr="00ED2F98">
        <w:rPr>
          <w:rFonts w:asciiTheme="majorHAnsi" w:hAnsiTheme="majorHAnsi" w:cs="Arial"/>
          <w:sz w:val="24"/>
          <w:szCs w:val="24"/>
        </w:rPr>
        <w:t>Budžeta Federacije Bosne i Hercegovine za 201</w:t>
      </w:r>
      <w:r w:rsidR="00184EAF" w:rsidRPr="00ED2F98">
        <w:rPr>
          <w:rFonts w:asciiTheme="majorHAnsi" w:hAnsiTheme="majorHAnsi" w:cs="Arial"/>
          <w:sz w:val="24"/>
          <w:szCs w:val="24"/>
        </w:rPr>
        <w:t>6</w:t>
      </w:r>
      <w:r w:rsidRPr="00ED2F98">
        <w:rPr>
          <w:rFonts w:asciiTheme="majorHAnsi" w:hAnsiTheme="majorHAnsi" w:cs="Arial"/>
          <w:sz w:val="24"/>
          <w:szCs w:val="24"/>
        </w:rPr>
        <w:t>. godinu</w:t>
      </w:r>
      <w:r w:rsidR="00E73E0E" w:rsidRPr="00ED2F98">
        <w:rPr>
          <w:rFonts w:asciiTheme="majorHAnsi" w:hAnsiTheme="majorHAnsi" w:cs="Arial"/>
          <w:sz w:val="24"/>
          <w:szCs w:val="24"/>
        </w:rPr>
        <w:t xml:space="preserve"> iznosi 2.</w:t>
      </w:r>
      <w:r w:rsidR="008D238E">
        <w:rPr>
          <w:rFonts w:asciiTheme="majorHAnsi" w:hAnsiTheme="majorHAnsi" w:cs="Arial"/>
          <w:sz w:val="24"/>
          <w:szCs w:val="24"/>
        </w:rPr>
        <w:t>517</w:t>
      </w:r>
      <w:r w:rsidR="00520AF1">
        <w:rPr>
          <w:rFonts w:asciiTheme="majorHAnsi" w:hAnsiTheme="majorHAnsi" w:cs="Arial"/>
          <w:sz w:val="24"/>
          <w:szCs w:val="24"/>
        </w:rPr>
        <w:t>.180.917</w:t>
      </w:r>
      <w:r w:rsidR="00083D92" w:rsidRPr="00ED2F98">
        <w:rPr>
          <w:rFonts w:asciiTheme="majorHAnsi" w:hAnsiTheme="majorHAnsi" w:cs="Arial"/>
          <w:sz w:val="24"/>
          <w:szCs w:val="24"/>
        </w:rPr>
        <w:t xml:space="preserve">,00 KM, što je za </w:t>
      </w:r>
      <w:r w:rsidR="00520AF1">
        <w:rPr>
          <w:rFonts w:asciiTheme="majorHAnsi" w:hAnsiTheme="majorHAnsi" w:cs="Arial"/>
          <w:sz w:val="24"/>
          <w:szCs w:val="24"/>
        </w:rPr>
        <w:t>85,7</w:t>
      </w:r>
      <w:r w:rsidR="00083D92" w:rsidRPr="00ED2F98">
        <w:rPr>
          <w:rFonts w:asciiTheme="majorHAnsi" w:hAnsiTheme="majorHAnsi" w:cs="Arial"/>
          <w:sz w:val="24"/>
          <w:szCs w:val="24"/>
        </w:rPr>
        <w:t xml:space="preserve"> mil. KM ili </w:t>
      </w:r>
      <w:r w:rsidR="00ED2F98" w:rsidRPr="00ED2F98">
        <w:rPr>
          <w:rFonts w:asciiTheme="majorHAnsi" w:hAnsiTheme="majorHAnsi" w:cs="Arial"/>
          <w:sz w:val="24"/>
          <w:szCs w:val="24"/>
        </w:rPr>
        <w:t>3</w:t>
      </w:r>
      <w:r w:rsidR="00E73E0E" w:rsidRPr="00ED2F98">
        <w:rPr>
          <w:rFonts w:asciiTheme="majorHAnsi" w:hAnsiTheme="majorHAnsi" w:cs="Arial"/>
          <w:sz w:val="24"/>
          <w:szCs w:val="24"/>
        </w:rPr>
        <w:t xml:space="preserve">% </w:t>
      </w:r>
      <w:r w:rsidR="00ED2F98" w:rsidRPr="00ED2F98">
        <w:rPr>
          <w:rFonts w:asciiTheme="majorHAnsi" w:hAnsiTheme="majorHAnsi" w:cs="Arial"/>
          <w:sz w:val="24"/>
          <w:szCs w:val="24"/>
        </w:rPr>
        <w:t>manje</w:t>
      </w:r>
      <w:r w:rsidR="00E73E0E" w:rsidRPr="00ED2F98">
        <w:rPr>
          <w:rFonts w:asciiTheme="majorHAnsi" w:hAnsiTheme="majorHAnsi" w:cs="Arial"/>
          <w:sz w:val="24"/>
          <w:szCs w:val="24"/>
        </w:rPr>
        <w:t xml:space="preserve"> u odnosu na Budžet Federacije Bosne i Hercegovine za 201</w:t>
      </w:r>
      <w:r w:rsidR="00ED2F98" w:rsidRPr="00ED2F98">
        <w:rPr>
          <w:rFonts w:asciiTheme="majorHAnsi" w:hAnsiTheme="majorHAnsi" w:cs="Arial"/>
          <w:sz w:val="24"/>
          <w:szCs w:val="24"/>
        </w:rPr>
        <w:t>6</w:t>
      </w:r>
      <w:r w:rsidR="00E73E0E" w:rsidRPr="00ED2F98">
        <w:rPr>
          <w:rFonts w:asciiTheme="majorHAnsi" w:hAnsiTheme="majorHAnsi" w:cs="Arial"/>
          <w:sz w:val="24"/>
          <w:szCs w:val="24"/>
        </w:rPr>
        <w:t>. godinu.</w:t>
      </w:r>
    </w:p>
    <w:p w:rsidR="00E73E0E" w:rsidRPr="005504E5" w:rsidRDefault="00E73E0E" w:rsidP="00E73E0E">
      <w:pPr>
        <w:tabs>
          <w:tab w:val="left" w:pos="2805"/>
        </w:tabs>
        <w:spacing w:before="240" w:after="240" w:line="240" w:lineRule="auto"/>
        <w:jc w:val="both"/>
        <w:rPr>
          <w:rFonts w:asciiTheme="majorHAnsi" w:hAnsiTheme="majorHAnsi" w:cs="Arial"/>
          <w:sz w:val="24"/>
          <w:szCs w:val="24"/>
          <w:lang w:val="en-US"/>
        </w:rPr>
      </w:pPr>
      <w:r w:rsidRPr="005504E5">
        <w:rPr>
          <w:rFonts w:asciiTheme="majorHAnsi" w:hAnsiTheme="majorHAnsi" w:cs="Arial"/>
          <w:sz w:val="24"/>
          <w:szCs w:val="24"/>
          <w:lang w:val="en-US"/>
        </w:rPr>
        <w:t>Uzimajući u obzir podatke o izvršenju Budžeta Federacije Bosne i Hercegovine za period januar – juni 201</w:t>
      </w:r>
      <w:r w:rsidR="00ED2F98" w:rsidRPr="005504E5">
        <w:rPr>
          <w:rFonts w:asciiTheme="majorHAnsi" w:hAnsiTheme="majorHAnsi" w:cs="Arial"/>
          <w:sz w:val="24"/>
          <w:szCs w:val="24"/>
          <w:lang w:val="en-US"/>
        </w:rPr>
        <w:t>6</w:t>
      </w:r>
      <w:r w:rsidRPr="005504E5">
        <w:rPr>
          <w:rFonts w:asciiTheme="majorHAnsi" w:hAnsiTheme="majorHAnsi" w:cs="Arial"/>
          <w:sz w:val="24"/>
          <w:szCs w:val="24"/>
          <w:lang w:val="en-US"/>
        </w:rPr>
        <w:t>. godine, te na temelju projekcija Federalnog ministarstva finansija, prihodi od poreza na dobit</w:t>
      </w:r>
      <w:r w:rsidR="000C0D54" w:rsidRPr="005504E5">
        <w:rPr>
          <w:rFonts w:asciiTheme="majorHAnsi" w:hAnsiTheme="majorHAnsi" w:cs="Arial"/>
          <w:sz w:val="24"/>
          <w:szCs w:val="24"/>
          <w:lang w:val="en-US"/>
        </w:rPr>
        <w:t xml:space="preserve"> pojedinca i preduzeća</w:t>
      </w:r>
      <w:r w:rsidRPr="005504E5">
        <w:rPr>
          <w:rFonts w:asciiTheme="majorHAnsi" w:hAnsiTheme="majorHAnsi" w:cs="Arial"/>
          <w:sz w:val="24"/>
          <w:szCs w:val="24"/>
          <w:lang w:val="en-US"/>
        </w:rPr>
        <w:t xml:space="preserve">  su </w:t>
      </w:r>
      <w:r w:rsidR="000C0D54" w:rsidRPr="005504E5">
        <w:rPr>
          <w:rFonts w:asciiTheme="majorHAnsi" w:hAnsiTheme="majorHAnsi" w:cs="Arial"/>
          <w:sz w:val="24"/>
          <w:szCs w:val="24"/>
          <w:lang w:val="en-US"/>
        </w:rPr>
        <w:t>povećani</w:t>
      </w:r>
      <w:r w:rsidRPr="005504E5">
        <w:rPr>
          <w:rFonts w:asciiTheme="majorHAnsi" w:hAnsiTheme="majorHAnsi" w:cs="Arial"/>
          <w:sz w:val="24"/>
          <w:szCs w:val="24"/>
          <w:lang w:val="en-US"/>
        </w:rPr>
        <w:t xml:space="preserve"> za oko </w:t>
      </w:r>
      <w:r w:rsidR="000C0D54" w:rsidRPr="005504E5">
        <w:rPr>
          <w:rFonts w:asciiTheme="majorHAnsi" w:hAnsiTheme="majorHAnsi" w:cs="Arial"/>
          <w:sz w:val="24"/>
          <w:szCs w:val="24"/>
          <w:lang w:val="en-US"/>
        </w:rPr>
        <w:t>10</w:t>
      </w:r>
      <w:r w:rsidRPr="005504E5">
        <w:rPr>
          <w:rFonts w:asciiTheme="majorHAnsi" w:hAnsiTheme="majorHAnsi" w:cs="Arial"/>
          <w:sz w:val="24"/>
          <w:szCs w:val="24"/>
          <w:lang w:val="en-US"/>
        </w:rPr>
        <w:t>,</w:t>
      </w:r>
      <w:r w:rsidR="000C0D54" w:rsidRPr="005504E5">
        <w:rPr>
          <w:rFonts w:asciiTheme="majorHAnsi" w:hAnsiTheme="majorHAnsi" w:cs="Arial"/>
          <w:sz w:val="24"/>
          <w:szCs w:val="24"/>
          <w:lang w:val="en-US"/>
        </w:rPr>
        <w:t>4</w:t>
      </w:r>
      <w:r w:rsidRPr="005504E5">
        <w:rPr>
          <w:rFonts w:asciiTheme="majorHAnsi" w:hAnsiTheme="majorHAnsi" w:cs="Arial"/>
          <w:sz w:val="24"/>
          <w:szCs w:val="24"/>
          <w:lang w:val="en-US"/>
        </w:rPr>
        <w:t xml:space="preserve"> mil. KM. </w:t>
      </w:r>
      <w:r w:rsidR="00520AF1">
        <w:rPr>
          <w:rFonts w:asciiTheme="majorHAnsi" w:hAnsiTheme="majorHAnsi" w:cs="Arial"/>
          <w:sz w:val="24"/>
          <w:szCs w:val="24"/>
          <w:lang w:val="en-US"/>
        </w:rPr>
        <w:t xml:space="preserve">Zatim, </w:t>
      </w:r>
      <w:r w:rsidR="00520AF1" w:rsidRPr="005504E5">
        <w:rPr>
          <w:rFonts w:asciiTheme="majorHAnsi" w:hAnsiTheme="majorHAnsi" w:cs="Arial"/>
          <w:sz w:val="24"/>
          <w:szCs w:val="24"/>
          <w:lang w:val="en-US"/>
        </w:rPr>
        <w:t xml:space="preserve">povrat anuiteta od krajnjih korisnika za otplatu duga za oko </w:t>
      </w:r>
      <w:r w:rsidR="00520AF1">
        <w:rPr>
          <w:rFonts w:asciiTheme="majorHAnsi" w:hAnsiTheme="majorHAnsi" w:cs="Arial"/>
          <w:sz w:val="24"/>
          <w:szCs w:val="24"/>
          <w:lang w:val="en-US"/>
        </w:rPr>
        <w:t>3</w:t>
      </w:r>
      <w:r w:rsidR="008D238E">
        <w:rPr>
          <w:rFonts w:asciiTheme="majorHAnsi" w:hAnsiTheme="majorHAnsi" w:cs="Arial"/>
          <w:sz w:val="24"/>
          <w:szCs w:val="24"/>
          <w:lang w:val="en-US"/>
        </w:rPr>
        <w:t>5</w:t>
      </w:r>
      <w:r w:rsidR="00520AF1">
        <w:rPr>
          <w:rFonts w:asciiTheme="majorHAnsi" w:hAnsiTheme="majorHAnsi" w:cs="Arial"/>
          <w:sz w:val="24"/>
          <w:szCs w:val="24"/>
          <w:lang w:val="en-US"/>
        </w:rPr>
        <w:t xml:space="preserve">,4 mil. KM. </w:t>
      </w:r>
      <w:r w:rsidRPr="005504E5">
        <w:rPr>
          <w:rFonts w:asciiTheme="majorHAnsi" w:hAnsiTheme="majorHAnsi" w:cs="Arial"/>
          <w:sz w:val="24"/>
          <w:szCs w:val="24"/>
          <w:lang w:val="en-US"/>
        </w:rPr>
        <w:t>Takođe</w:t>
      </w:r>
      <w:r w:rsidR="000C0D54" w:rsidRPr="005504E5">
        <w:rPr>
          <w:rFonts w:asciiTheme="majorHAnsi" w:hAnsiTheme="majorHAnsi" w:cs="Arial"/>
          <w:sz w:val="24"/>
          <w:szCs w:val="24"/>
          <w:lang w:val="en-US"/>
        </w:rPr>
        <w:t>r,</w:t>
      </w:r>
      <w:r w:rsidRPr="005504E5">
        <w:rPr>
          <w:rFonts w:asciiTheme="majorHAnsi" w:hAnsiTheme="majorHAnsi" w:cs="Arial"/>
          <w:sz w:val="24"/>
          <w:szCs w:val="24"/>
          <w:lang w:val="en-US"/>
        </w:rPr>
        <w:t xml:space="preserve"> na pojedinim pozicijama prihoda planirana su i </w:t>
      </w:r>
      <w:r w:rsidR="000C0D54" w:rsidRPr="005504E5">
        <w:rPr>
          <w:rFonts w:asciiTheme="majorHAnsi" w:hAnsiTheme="majorHAnsi" w:cs="Arial"/>
          <w:sz w:val="24"/>
          <w:szCs w:val="24"/>
          <w:lang w:val="en-US"/>
        </w:rPr>
        <w:t>smanjenja</w:t>
      </w:r>
      <w:r w:rsidRPr="005504E5">
        <w:rPr>
          <w:rFonts w:asciiTheme="majorHAnsi" w:hAnsiTheme="majorHAnsi" w:cs="Arial"/>
          <w:sz w:val="24"/>
          <w:szCs w:val="24"/>
          <w:lang w:val="en-US"/>
        </w:rPr>
        <w:t xml:space="preserve">, prije svega na ekonomskim kodovima </w:t>
      </w:r>
      <w:r w:rsidR="00520AF1">
        <w:rPr>
          <w:rFonts w:asciiTheme="majorHAnsi" w:hAnsiTheme="majorHAnsi" w:cs="Arial"/>
          <w:sz w:val="24"/>
          <w:szCs w:val="24"/>
          <w:lang w:val="en-US"/>
        </w:rPr>
        <w:t>Naknade i takse i priodi od pružanja javnih usluga</w:t>
      </w:r>
      <w:r w:rsidR="005504E5" w:rsidRPr="005504E5">
        <w:rPr>
          <w:rFonts w:asciiTheme="majorHAnsi" w:hAnsiTheme="majorHAnsi" w:cs="Arial"/>
          <w:sz w:val="24"/>
          <w:szCs w:val="24"/>
          <w:lang w:val="en-US"/>
        </w:rPr>
        <w:t xml:space="preserve"> smanjeni za </w:t>
      </w:r>
      <w:r w:rsidR="00520AF1">
        <w:rPr>
          <w:rFonts w:asciiTheme="majorHAnsi" w:hAnsiTheme="majorHAnsi" w:cs="Arial"/>
          <w:sz w:val="24"/>
          <w:szCs w:val="24"/>
          <w:lang w:val="en-US"/>
        </w:rPr>
        <w:t xml:space="preserve">7,6 mil. KM. Uzimajući u obzir navedeno neporezni prihodi u </w:t>
      </w:r>
      <w:r w:rsidR="008D238E">
        <w:rPr>
          <w:rFonts w:asciiTheme="majorHAnsi" w:hAnsiTheme="majorHAnsi" w:cs="Arial"/>
          <w:sz w:val="24"/>
          <w:szCs w:val="24"/>
          <w:lang w:val="en-US"/>
        </w:rPr>
        <w:t>ukupnom iznosu su povećani za 27</w:t>
      </w:r>
      <w:r w:rsidR="00520AF1">
        <w:rPr>
          <w:rFonts w:asciiTheme="majorHAnsi" w:hAnsiTheme="majorHAnsi" w:cs="Arial"/>
          <w:sz w:val="24"/>
          <w:szCs w:val="24"/>
          <w:lang w:val="en-US"/>
        </w:rPr>
        <w:t>,2 mil. KM.</w:t>
      </w:r>
    </w:p>
    <w:p w:rsidR="00E73E0E" w:rsidRPr="000C0D54" w:rsidRDefault="00E73E0E" w:rsidP="00E73E0E">
      <w:pPr>
        <w:tabs>
          <w:tab w:val="left" w:pos="2805"/>
        </w:tabs>
        <w:spacing w:before="240" w:after="240" w:line="240" w:lineRule="auto"/>
        <w:jc w:val="both"/>
        <w:rPr>
          <w:rFonts w:asciiTheme="majorHAnsi" w:hAnsiTheme="majorHAnsi" w:cs="Arial"/>
          <w:sz w:val="24"/>
          <w:szCs w:val="24"/>
          <w:lang w:val="en-US"/>
        </w:rPr>
      </w:pPr>
      <w:r w:rsidRPr="000C0D54">
        <w:rPr>
          <w:rFonts w:asciiTheme="majorHAnsi" w:hAnsiTheme="majorHAnsi" w:cs="Arial"/>
          <w:sz w:val="24"/>
          <w:szCs w:val="24"/>
          <w:lang w:val="en-US"/>
        </w:rPr>
        <w:t>U dijelu primitaka izvršeno je smanjenje planiranih sredstava po osnovu</w:t>
      </w:r>
      <w:r w:rsidR="000C0D54" w:rsidRPr="000C0D54">
        <w:rPr>
          <w:rFonts w:asciiTheme="majorHAnsi" w:hAnsiTheme="majorHAnsi" w:cs="Arial"/>
          <w:sz w:val="24"/>
          <w:szCs w:val="24"/>
          <w:lang w:val="en-US"/>
        </w:rPr>
        <w:t xml:space="preserve"> zajmova primljenih kroz Državu u iznosu od 209,5 mil. KM, dok su primici od domaćeg zaduživanja – obveznice povećani za 100,0 mil KM, a primici od domaćeg zaduži</w:t>
      </w:r>
      <w:r w:rsidR="00B236A2">
        <w:rPr>
          <w:rFonts w:asciiTheme="majorHAnsi" w:hAnsiTheme="majorHAnsi" w:cs="Arial"/>
          <w:sz w:val="24"/>
          <w:szCs w:val="24"/>
          <w:lang w:val="en-US"/>
        </w:rPr>
        <w:t>vanja – trezorski zapisi smanjeni su su za 10</w:t>
      </w:r>
      <w:r w:rsidR="000C0D54" w:rsidRPr="000C0D54">
        <w:rPr>
          <w:rFonts w:asciiTheme="majorHAnsi" w:hAnsiTheme="majorHAnsi" w:cs="Arial"/>
          <w:sz w:val="24"/>
          <w:szCs w:val="24"/>
          <w:lang w:val="en-US"/>
        </w:rPr>
        <w:t xml:space="preserve">,0 mil. KM. Suštinski, nedostajuća sredstva od </w:t>
      </w:r>
      <w:r w:rsidRPr="000C0D54">
        <w:rPr>
          <w:rFonts w:asciiTheme="majorHAnsi" w:hAnsiTheme="majorHAnsi" w:cs="Arial"/>
          <w:sz w:val="24"/>
          <w:szCs w:val="24"/>
          <w:lang w:val="en-US"/>
        </w:rPr>
        <w:t>projekta DPL</w:t>
      </w:r>
      <w:r w:rsidR="000C0D54" w:rsidRPr="000C0D54">
        <w:rPr>
          <w:rFonts w:asciiTheme="majorHAnsi" w:hAnsiTheme="majorHAnsi" w:cs="Arial"/>
          <w:sz w:val="24"/>
          <w:szCs w:val="24"/>
          <w:lang w:val="en-US"/>
        </w:rPr>
        <w:t xml:space="preserve"> – </w:t>
      </w:r>
      <w:r w:rsidRPr="000C0D54">
        <w:rPr>
          <w:rFonts w:asciiTheme="majorHAnsi" w:hAnsiTheme="majorHAnsi" w:cs="Arial"/>
          <w:sz w:val="24"/>
          <w:szCs w:val="24"/>
          <w:lang w:val="en-US"/>
        </w:rPr>
        <w:t>Svjetsk</w:t>
      </w:r>
      <w:r w:rsidR="000C0D54" w:rsidRPr="000C0D54">
        <w:rPr>
          <w:rFonts w:asciiTheme="majorHAnsi" w:hAnsiTheme="majorHAnsi" w:cs="Arial"/>
          <w:sz w:val="24"/>
          <w:szCs w:val="24"/>
          <w:lang w:val="en-US"/>
        </w:rPr>
        <w:t xml:space="preserve">e </w:t>
      </w:r>
      <w:r w:rsidRPr="000C0D54">
        <w:rPr>
          <w:rFonts w:asciiTheme="majorHAnsi" w:hAnsiTheme="majorHAnsi" w:cs="Arial"/>
          <w:sz w:val="24"/>
          <w:szCs w:val="24"/>
          <w:lang w:val="en-US"/>
        </w:rPr>
        <w:t>bank</w:t>
      </w:r>
      <w:r w:rsidR="000C0D54" w:rsidRPr="000C0D54">
        <w:rPr>
          <w:rFonts w:asciiTheme="majorHAnsi" w:hAnsiTheme="majorHAnsi" w:cs="Arial"/>
          <w:sz w:val="24"/>
          <w:szCs w:val="24"/>
          <w:lang w:val="en-US"/>
        </w:rPr>
        <w:t>e i</w:t>
      </w:r>
      <w:r w:rsidRPr="000C0D54">
        <w:rPr>
          <w:rFonts w:asciiTheme="majorHAnsi" w:hAnsiTheme="majorHAnsi" w:cs="Arial"/>
          <w:sz w:val="24"/>
          <w:szCs w:val="24"/>
          <w:lang w:val="en-US"/>
        </w:rPr>
        <w:t xml:space="preserve"> Međunarodnog monetarnog fonda zamijenjen</w:t>
      </w:r>
      <w:r w:rsidR="000C0D54" w:rsidRPr="000C0D54">
        <w:rPr>
          <w:rFonts w:asciiTheme="majorHAnsi" w:hAnsiTheme="majorHAnsi" w:cs="Arial"/>
          <w:sz w:val="24"/>
          <w:szCs w:val="24"/>
          <w:lang w:val="en-US"/>
        </w:rPr>
        <w:t xml:space="preserve">a su </w:t>
      </w:r>
      <w:r w:rsidRPr="000C0D54">
        <w:rPr>
          <w:rFonts w:asciiTheme="majorHAnsi" w:hAnsiTheme="majorHAnsi" w:cs="Arial"/>
          <w:sz w:val="24"/>
          <w:szCs w:val="24"/>
          <w:lang w:val="en-US"/>
        </w:rPr>
        <w:t>alternativnim izvorima finansiranja, odnosno primicima od domaćeg pozajmljivanja.</w:t>
      </w:r>
    </w:p>
    <w:p w:rsidR="00E73E0E" w:rsidRPr="00ED2F98" w:rsidRDefault="00E73E0E" w:rsidP="00E73E0E">
      <w:pPr>
        <w:tabs>
          <w:tab w:val="left" w:pos="2805"/>
        </w:tabs>
        <w:spacing w:before="240" w:after="240" w:line="240" w:lineRule="auto"/>
        <w:jc w:val="both"/>
        <w:rPr>
          <w:rFonts w:asciiTheme="majorHAnsi" w:hAnsiTheme="majorHAnsi" w:cs="Arial"/>
          <w:sz w:val="24"/>
          <w:szCs w:val="24"/>
        </w:rPr>
      </w:pPr>
      <w:r w:rsidRPr="00ED2F98">
        <w:rPr>
          <w:rFonts w:asciiTheme="majorHAnsi" w:hAnsiTheme="majorHAnsi" w:cs="Arial"/>
          <w:sz w:val="24"/>
          <w:szCs w:val="24"/>
        </w:rPr>
        <w:t xml:space="preserve">Rashodovna strana </w:t>
      </w:r>
      <w:r w:rsidR="003E7961" w:rsidRPr="00ED2F98">
        <w:rPr>
          <w:rFonts w:asciiTheme="majorHAnsi" w:hAnsiTheme="majorHAnsi" w:cs="Arial"/>
          <w:sz w:val="24"/>
          <w:szCs w:val="24"/>
        </w:rPr>
        <w:t>Prijedloga odluke o izmjenama i dopunama  Budžeta Federacije Bosne i Hercegovine za 201</w:t>
      </w:r>
      <w:r w:rsidR="00ED2F98" w:rsidRPr="00ED2F98">
        <w:rPr>
          <w:rFonts w:asciiTheme="majorHAnsi" w:hAnsiTheme="majorHAnsi" w:cs="Arial"/>
          <w:sz w:val="24"/>
          <w:szCs w:val="24"/>
        </w:rPr>
        <w:t>6</w:t>
      </w:r>
      <w:r w:rsidR="003E7961" w:rsidRPr="00ED2F98">
        <w:rPr>
          <w:rFonts w:asciiTheme="majorHAnsi" w:hAnsiTheme="majorHAnsi" w:cs="Arial"/>
          <w:sz w:val="24"/>
          <w:szCs w:val="24"/>
        </w:rPr>
        <w:t xml:space="preserve">. godinu </w:t>
      </w:r>
      <w:r w:rsidRPr="00ED2F98">
        <w:rPr>
          <w:rFonts w:asciiTheme="majorHAnsi" w:hAnsiTheme="majorHAnsi" w:cs="Arial"/>
          <w:sz w:val="24"/>
          <w:szCs w:val="24"/>
        </w:rPr>
        <w:t>sačinjena je na bazi zahtjeva budžetskih korisnika, uz uvažavanje zakonskih obaveza, politika i prioriteta Vlade Federacije BiH, ažuriranih makroekonomskih projekcija i procjena raspoloživih budžetskih sredstava. Struktura rashodovne strane predstavlja odraz provođenja mjera restriktivne javne potrošnje od strane Vlade Federacije BiH, što predstavlja jedan od prioriteta ekonomske politike u narednim godinama. F</w:t>
      </w:r>
      <w:r w:rsidRPr="00ED2F98">
        <w:rPr>
          <w:rFonts w:asciiTheme="majorHAnsi" w:hAnsiTheme="majorHAnsi" w:cs="Arial"/>
          <w:sz w:val="24"/>
          <w:szCs w:val="24"/>
          <w:lang w:val="en-US"/>
        </w:rPr>
        <w:t xml:space="preserve">iskalna politika Vlade Federacije BiH </w:t>
      </w:r>
      <w:r w:rsidR="00ED2F98" w:rsidRPr="00ED2F98">
        <w:rPr>
          <w:rFonts w:asciiTheme="majorHAnsi" w:hAnsiTheme="majorHAnsi" w:cs="Arial"/>
          <w:sz w:val="24"/>
          <w:szCs w:val="24"/>
          <w:lang w:val="en-US"/>
        </w:rPr>
        <w:t>je</w:t>
      </w:r>
      <w:r w:rsidRPr="00ED2F98">
        <w:rPr>
          <w:rFonts w:asciiTheme="majorHAnsi" w:hAnsiTheme="majorHAnsi" w:cs="Arial"/>
          <w:sz w:val="24"/>
          <w:szCs w:val="24"/>
          <w:lang w:val="en-US"/>
        </w:rPr>
        <w:t xml:space="preserve"> i u 201</w:t>
      </w:r>
      <w:r w:rsidR="00ED2F98" w:rsidRPr="00ED2F98">
        <w:rPr>
          <w:rFonts w:asciiTheme="majorHAnsi" w:hAnsiTheme="majorHAnsi" w:cs="Arial"/>
          <w:sz w:val="24"/>
          <w:szCs w:val="24"/>
          <w:lang w:val="en-US"/>
        </w:rPr>
        <w:t>6</w:t>
      </w:r>
      <w:r w:rsidRPr="00ED2F98">
        <w:rPr>
          <w:rFonts w:asciiTheme="majorHAnsi" w:hAnsiTheme="majorHAnsi" w:cs="Arial"/>
          <w:sz w:val="24"/>
          <w:szCs w:val="24"/>
          <w:lang w:val="en-US"/>
        </w:rPr>
        <w:t>. godini orijentisana na aktivnosti koje će doprinijeti ekonomskom i socijalnom jačanju Federacije BiH, odnosno države Bosne i Hercegovine. U tom kontekstu se nastavljaju provoditi oštre mjere štednje u svim segmentima javne potrošnje.</w:t>
      </w:r>
    </w:p>
    <w:p w:rsidR="00E73E0E" w:rsidRDefault="00E73E0E" w:rsidP="00E73E0E">
      <w:pPr>
        <w:spacing w:after="0" w:line="240" w:lineRule="auto"/>
        <w:jc w:val="both"/>
        <w:rPr>
          <w:rFonts w:asciiTheme="majorHAnsi" w:hAnsiTheme="majorHAnsi" w:cs="Arial"/>
          <w:sz w:val="24"/>
          <w:szCs w:val="24"/>
        </w:rPr>
      </w:pPr>
      <w:r w:rsidRPr="00C01A87">
        <w:rPr>
          <w:rFonts w:asciiTheme="majorHAnsi" w:hAnsiTheme="majorHAnsi" w:cs="Arial"/>
          <w:sz w:val="24"/>
          <w:szCs w:val="24"/>
        </w:rPr>
        <w:t>Važno je naglasiti da je na poziciji bruto plaća i naknada i doprinosa došlo do umanjenja planiranih sredstava za iznos od oko 1</w:t>
      </w:r>
      <w:r w:rsidR="00C01A87" w:rsidRPr="00C01A87">
        <w:rPr>
          <w:rFonts w:asciiTheme="majorHAnsi" w:hAnsiTheme="majorHAnsi" w:cs="Arial"/>
          <w:sz w:val="24"/>
          <w:szCs w:val="24"/>
        </w:rPr>
        <w:t>0</w:t>
      </w:r>
      <w:r w:rsidRPr="00C01A87">
        <w:rPr>
          <w:rFonts w:asciiTheme="majorHAnsi" w:hAnsiTheme="majorHAnsi" w:cs="Arial"/>
          <w:sz w:val="24"/>
          <w:szCs w:val="24"/>
        </w:rPr>
        <w:t>,</w:t>
      </w:r>
      <w:r w:rsidR="00C01A87" w:rsidRPr="00C01A87">
        <w:rPr>
          <w:rFonts w:asciiTheme="majorHAnsi" w:hAnsiTheme="majorHAnsi" w:cs="Arial"/>
          <w:sz w:val="24"/>
          <w:szCs w:val="24"/>
        </w:rPr>
        <w:t>3</w:t>
      </w:r>
      <w:r w:rsidRPr="00C01A87">
        <w:rPr>
          <w:rFonts w:asciiTheme="majorHAnsi" w:hAnsiTheme="majorHAnsi" w:cs="Arial"/>
          <w:sz w:val="24"/>
          <w:szCs w:val="24"/>
        </w:rPr>
        <w:t xml:space="preserve"> mil. KM. Osnovni razlozi za smanjenje su bili</w:t>
      </w:r>
      <w:r w:rsidR="00C01A87" w:rsidRPr="00C01A87">
        <w:rPr>
          <w:rFonts w:asciiTheme="majorHAnsi" w:hAnsiTheme="majorHAnsi" w:cs="Arial"/>
          <w:sz w:val="24"/>
          <w:szCs w:val="24"/>
        </w:rPr>
        <w:t xml:space="preserve"> moratorij na zapošaljvanje koji kontinuirano provodi Vlada Federacije BiH, kao i usvojeni dokument Politike o ograničavanju javne potrošnje na plaće i naknade, također usvojen od strane Vlade Federacije BiH.</w:t>
      </w:r>
    </w:p>
    <w:p w:rsidR="00C01A87" w:rsidRPr="009513BF" w:rsidRDefault="00C01A87" w:rsidP="00E73E0E">
      <w:pPr>
        <w:spacing w:after="0" w:line="240" w:lineRule="auto"/>
        <w:jc w:val="both"/>
        <w:rPr>
          <w:rFonts w:asciiTheme="majorHAnsi" w:hAnsiTheme="majorHAnsi" w:cs="Arial"/>
          <w:sz w:val="24"/>
          <w:szCs w:val="24"/>
          <w:highlight w:val="yellow"/>
        </w:rPr>
      </w:pPr>
    </w:p>
    <w:p w:rsidR="00C01A87" w:rsidRDefault="00E73E0E" w:rsidP="00E73E0E">
      <w:pPr>
        <w:spacing w:after="0" w:line="240" w:lineRule="auto"/>
        <w:jc w:val="both"/>
        <w:rPr>
          <w:rFonts w:asciiTheme="majorHAnsi" w:hAnsiTheme="majorHAnsi" w:cs="Arial"/>
          <w:sz w:val="24"/>
          <w:szCs w:val="24"/>
        </w:rPr>
      </w:pPr>
      <w:r w:rsidRPr="00C01A87">
        <w:rPr>
          <w:rFonts w:asciiTheme="majorHAnsi" w:hAnsiTheme="majorHAnsi" w:cs="Arial"/>
          <w:sz w:val="24"/>
          <w:szCs w:val="24"/>
        </w:rPr>
        <w:t xml:space="preserve">Izdaci za materijal, sitan inventar i usluge </w:t>
      </w:r>
      <w:r w:rsidR="00C01A87" w:rsidRPr="00C01A87">
        <w:rPr>
          <w:rFonts w:asciiTheme="majorHAnsi" w:hAnsiTheme="majorHAnsi" w:cs="Arial"/>
          <w:sz w:val="24"/>
          <w:szCs w:val="24"/>
        </w:rPr>
        <w:t>su blago povećani, i to u iznosu od 0</w:t>
      </w:r>
      <w:r w:rsidRPr="00C01A87">
        <w:rPr>
          <w:rFonts w:asciiTheme="majorHAnsi" w:hAnsiTheme="majorHAnsi" w:cs="Arial"/>
          <w:sz w:val="24"/>
          <w:szCs w:val="24"/>
        </w:rPr>
        <w:t xml:space="preserve">,6 mil. KM. </w:t>
      </w:r>
      <w:r w:rsidR="00C01A87" w:rsidRPr="00C01A87">
        <w:rPr>
          <w:rFonts w:asciiTheme="majorHAnsi" w:hAnsiTheme="majorHAnsi" w:cs="Arial"/>
          <w:sz w:val="24"/>
          <w:szCs w:val="24"/>
        </w:rPr>
        <w:t>Povećanje</w:t>
      </w:r>
      <w:r w:rsidRPr="00C01A87">
        <w:rPr>
          <w:rFonts w:asciiTheme="majorHAnsi" w:hAnsiTheme="majorHAnsi" w:cs="Arial"/>
          <w:sz w:val="24"/>
          <w:szCs w:val="24"/>
        </w:rPr>
        <w:t xml:space="preserve"> na ovom ekonomskom kodu je</w:t>
      </w:r>
      <w:r w:rsidR="00C01A87" w:rsidRPr="00C01A87">
        <w:rPr>
          <w:rFonts w:asciiTheme="majorHAnsi" w:hAnsiTheme="majorHAnsi" w:cs="Arial"/>
          <w:sz w:val="24"/>
          <w:szCs w:val="24"/>
        </w:rPr>
        <w:t xml:space="preserve"> prije svega rezultat</w:t>
      </w:r>
      <w:r w:rsidRPr="00C01A87">
        <w:rPr>
          <w:rFonts w:asciiTheme="majorHAnsi" w:hAnsiTheme="majorHAnsi" w:cs="Arial"/>
          <w:sz w:val="24"/>
          <w:szCs w:val="24"/>
        </w:rPr>
        <w:t xml:space="preserve"> </w:t>
      </w:r>
      <w:r w:rsidR="00C01A87" w:rsidRPr="00C01A87">
        <w:rPr>
          <w:rFonts w:asciiTheme="majorHAnsi" w:hAnsiTheme="majorHAnsi" w:cs="Arial"/>
          <w:sz w:val="24"/>
          <w:szCs w:val="24"/>
        </w:rPr>
        <w:t xml:space="preserve"> povećanja  izdataka za zatezne kamate na sudska rješenja i troškove spora.</w:t>
      </w:r>
    </w:p>
    <w:p w:rsidR="00C01A87" w:rsidRDefault="00C01A87" w:rsidP="00E73E0E">
      <w:pPr>
        <w:spacing w:after="0" w:line="240" w:lineRule="auto"/>
        <w:jc w:val="both"/>
        <w:rPr>
          <w:rFonts w:asciiTheme="majorHAnsi" w:hAnsiTheme="majorHAnsi" w:cs="Arial"/>
          <w:sz w:val="24"/>
          <w:szCs w:val="24"/>
        </w:rPr>
      </w:pPr>
    </w:p>
    <w:p w:rsidR="00E73E0E" w:rsidRPr="009C0E17" w:rsidRDefault="003E7961" w:rsidP="00E73E0E">
      <w:pPr>
        <w:spacing w:after="0" w:line="240" w:lineRule="auto"/>
        <w:jc w:val="both"/>
        <w:rPr>
          <w:rFonts w:asciiTheme="majorHAnsi" w:hAnsiTheme="majorHAnsi" w:cs="Arial"/>
          <w:sz w:val="24"/>
          <w:szCs w:val="24"/>
        </w:rPr>
      </w:pPr>
      <w:r w:rsidRPr="00016152">
        <w:rPr>
          <w:rFonts w:asciiTheme="majorHAnsi" w:hAnsiTheme="majorHAnsi" w:cs="Arial"/>
          <w:sz w:val="24"/>
          <w:szCs w:val="24"/>
        </w:rPr>
        <w:lastRenderedPageBreak/>
        <w:t>Predloženom odlukom o</w:t>
      </w:r>
      <w:r w:rsidR="00E73E0E" w:rsidRPr="00016152">
        <w:rPr>
          <w:rFonts w:asciiTheme="majorHAnsi" w:hAnsiTheme="majorHAnsi" w:cs="Arial"/>
          <w:sz w:val="24"/>
          <w:szCs w:val="24"/>
        </w:rPr>
        <w:t xml:space="preserve"> izmjenama i dopunama Budžeta Federacije Bosne i Hercegovine </w:t>
      </w:r>
      <w:r w:rsidR="00E73E0E" w:rsidRPr="009C0E17">
        <w:rPr>
          <w:rFonts w:asciiTheme="majorHAnsi" w:hAnsiTheme="majorHAnsi" w:cs="Arial"/>
          <w:sz w:val="24"/>
          <w:szCs w:val="24"/>
        </w:rPr>
        <w:t>za 201</w:t>
      </w:r>
      <w:r w:rsidR="006C49DA" w:rsidRPr="009C0E17">
        <w:rPr>
          <w:rFonts w:asciiTheme="majorHAnsi" w:hAnsiTheme="majorHAnsi" w:cs="Arial"/>
          <w:sz w:val="24"/>
          <w:szCs w:val="24"/>
        </w:rPr>
        <w:t>6</w:t>
      </w:r>
      <w:r w:rsidR="00E73E0E" w:rsidRPr="009C0E17">
        <w:rPr>
          <w:rFonts w:asciiTheme="majorHAnsi" w:hAnsiTheme="majorHAnsi" w:cs="Arial"/>
          <w:sz w:val="24"/>
          <w:szCs w:val="24"/>
        </w:rPr>
        <w:t xml:space="preserve">. godinu došlo je do </w:t>
      </w:r>
      <w:r w:rsidR="006C49DA" w:rsidRPr="009C0E17">
        <w:rPr>
          <w:rFonts w:asciiTheme="majorHAnsi" w:hAnsiTheme="majorHAnsi" w:cs="Arial"/>
          <w:sz w:val="24"/>
          <w:szCs w:val="24"/>
        </w:rPr>
        <w:t xml:space="preserve">blagog </w:t>
      </w:r>
      <w:r w:rsidR="00E73E0E" w:rsidRPr="009C0E17">
        <w:rPr>
          <w:rFonts w:asciiTheme="majorHAnsi" w:hAnsiTheme="majorHAnsi" w:cs="Arial"/>
          <w:sz w:val="24"/>
          <w:szCs w:val="24"/>
        </w:rPr>
        <w:t>povećanja tekućih transfera i drugih tekućih rashoda u ukupnom iznosu</w:t>
      </w:r>
      <w:r w:rsidR="00D432FA" w:rsidRPr="009C0E17">
        <w:rPr>
          <w:rFonts w:asciiTheme="majorHAnsi" w:hAnsiTheme="majorHAnsi" w:cs="Arial"/>
          <w:sz w:val="24"/>
          <w:szCs w:val="24"/>
        </w:rPr>
        <w:t xml:space="preserve"> za oko </w:t>
      </w:r>
      <w:r w:rsidR="008D238E">
        <w:rPr>
          <w:rFonts w:asciiTheme="majorHAnsi" w:hAnsiTheme="majorHAnsi" w:cs="Arial"/>
          <w:sz w:val="24"/>
          <w:szCs w:val="24"/>
        </w:rPr>
        <w:t xml:space="preserve">4,0 </w:t>
      </w:r>
      <w:r w:rsidR="00E73E0E" w:rsidRPr="009C0E17">
        <w:rPr>
          <w:rFonts w:asciiTheme="majorHAnsi" w:hAnsiTheme="majorHAnsi" w:cs="Arial"/>
          <w:sz w:val="24"/>
          <w:szCs w:val="24"/>
        </w:rPr>
        <w:t>mil. KM od čega se najznačanije izmjene odnose na:</w:t>
      </w:r>
    </w:p>
    <w:p w:rsidR="00E73E0E" w:rsidRPr="009C0E17" w:rsidRDefault="00E73E0E" w:rsidP="00E73E0E">
      <w:pPr>
        <w:spacing w:after="0" w:line="240" w:lineRule="auto"/>
        <w:jc w:val="both"/>
        <w:rPr>
          <w:rFonts w:asciiTheme="majorHAnsi" w:hAnsiTheme="majorHAnsi" w:cs="Arial"/>
          <w:sz w:val="24"/>
          <w:szCs w:val="24"/>
        </w:rPr>
      </w:pPr>
    </w:p>
    <w:p w:rsidR="009C0E17" w:rsidRPr="008D238E" w:rsidRDefault="00E73E0E" w:rsidP="009C0E17">
      <w:pPr>
        <w:pStyle w:val="ListParagraph"/>
        <w:numPr>
          <w:ilvl w:val="0"/>
          <w:numId w:val="24"/>
        </w:numPr>
        <w:spacing w:after="0" w:line="240" w:lineRule="auto"/>
        <w:jc w:val="both"/>
        <w:rPr>
          <w:rFonts w:asciiTheme="majorHAnsi" w:hAnsiTheme="majorHAnsi" w:cs="Arial"/>
          <w:sz w:val="24"/>
          <w:szCs w:val="24"/>
        </w:rPr>
      </w:pPr>
      <w:r w:rsidRPr="008D238E">
        <w:rPr>
          <w:rFonts w:asciiTheme="majorHAnsi" w:hAnsiTheme="majorHAnsi" w:cs="Arial"/>
          <w:sz w:val="24"/>
          <w:szCs w:val="24"/>
        </w:rPr>
        <w:t>Povećanje sr</w:t>
      </w:r>
      <w:r w:rsidR="00FF33C7" w:rsidRPr="008D238E">
        <w:rPr>
          <w:rFonts w:asciiTheme="majorHAnsi" w:hAnsiTheme="majorHAnsi" w:cs="Arial"/>
          <w:sz w:val="24"/>
          <w:szCs w:val="24"/>
        </w:rPr>
        <w:t xml:space="preserve">edstava na ekonomskim kodovima </w:t>
      </w:r>
      <w:r w:rsidR="00016152" w:rsidRPr="008D238E">
        <w:rPr>
          <w:rFonts w:asciiTheme="majorHAnsi" w:hAnsiTheme="majorHAnsi" w:cs="Arial"/>
          <w:sz w:val="24"/>
          <w:szCs w:val="24"/>
        </w:rPr>
        <w:t xml:space="preserve"> za zaštitu i spašavanje od prirodnih i drugih nesreća</w:t>
      </w:r>
      <w:r w:rsidR="009C0E17" w:rsidRPr="008D238E">
        <w:rPr>
          <w:rFonts w:asciiTheme="majorHAnsi" w:hAnsiTheme="majorHAnsi" w:cs="Arial"/>
          <w:sz w:val="24"/>
          <w:szCs w:val="24"/>
        </w:rPr>
        <w:t xml:space="preserve"> planirano je </w:t>
      </w:r>
      <w:r w:rsidR="00143A33" w:rsidRPr="008D238E">
        <w:rPr>
          <w:rFonts w:asciiTheme="majorHAnsi" w:hAnsiTheme="majorHAnsi" w:cs="Arial"/>
          <w:sz w:val="24"/>
          <w:szCs w:val="24"/>
        </w:rPr>
        <w:t xml:space="preserve">dodatnih </w:t>
      </w:r>
      <w:r w:rsidR="009C0E17" w:rsidRPr="008D238E">
        <w:rPr>
          <w:rFonts w:asciiTheme="majorHAnsi" w:hAnsiTheme="majorHAnsi" w:cs="Arial"/>
          <w:sz w:val="24"/>
          <w:szCs w:val="24"/>
        </w:rPr>
        <w:t xml:space="preserve">5,0 mil. KM. Također na ime izmirenja obaveza </w:t>
      </w:r>
      <w:r w:rsidR="00AD292F" w:rsidRPr="008D238E">
        <w:rPr>
          <w:rFonts w:asciiTheme="majorHAnsi" w:hAnsiTheme="majorHAnsi" w:cs="Arial"/>
          <w:sz w:val="24"/>
          <w:szCs w:val="24"/>
        </w:rPr>
        <w:t xml:space="preserve">prema poljoprivrednicima </w:t>
      </w:r>
      <w:r w:rsidR="009C0E17" w:rsidRPr="008D238E">
        <w:rPr>
          <w:rFonts w:asciiTheme="majorHAnsi" w:hAnsiTheme="majorHAnsi" w:cs="Arial"/>
          <w:sz w:val="24"/>
          <w:szCs w:val="24"/>
        </w:rPr>
        <w:t>iz ranijeg p</w:t>
      </w:r>
      <w:r w:rsidR="00834D88" w:rsidRPr="008D238E">
        <w:rPr>
          <w:rFonts w:asciiTheme="majorHAnsi" w:hAnsiTheme="majorHAnsi" w:cs="Arial"/>
          <w:sz w:val="24"/>
          <w:szCs w:val="24"/>
        </w:rPr>
        <w:t>erioda planirano je 2,1 mil. KM.</w:t>
      </w:r>
    </w:p>
    <w:p w:rsidR="00E73E0E" w:rsidRPr="000B484C" w:rsidRDefault="00E73E0E" w:rsidP="00E73E0E">
      <w:pPr>
        <w:pStyle w:val="ListParagraph"/>
        <w:spacing w:after="0" w:line="240" w:lineRule="auto"/>
        <w:ind w:left="1440"/>
        <w:jc w:val="both"/>
        <w:rPr>
          <w:rFonts w:asciiTheme="majorHAnsi" w:hAnsiTheme="majorHAnsi" w:cs="Arial"/>
          <w:sz w:val="24"/>
          <w:szCs w:val="24"/>
          <w:highlight w:val="yellow"/>
        </w:rPr>
      </w:pPr>
    </w:p>
    <w:p w:rsidR="00016152" w:rsidRPr="000B484C" w:rsidRDefault="000B484C" w:rsidP="00DD64E5">
      <w:pPr>
        <w:pStyle w:val="ListParagraph"/>
        <w:numPr>
          <w:ilvl w:val="0"/>
          <w:numId w:val="24"/>
        </w:numPr>
        <w:spacing w:after="0" w:line="240" w:lineRule="auto"/>
        <w:jc w:val="both"/>
        <w:rPr>
          <w:rFonts w:asciiTheme="majorHAnsi" w:hAnsiTheme="majorHAnsi" w:cs="Arial"/>
          <w:sz w:val="24"/>
          <w:szCs w:val="24"/>
        </w:rPr>
      </w:pPr>
      <w:r w:rsidRPr="000B484C">
        <w:rPr>
          <w:rFonts w:asciiTheme="majorHAnsi" w:hAnsiTheme="majorHAnsi" w:cs="Arial"/>
          <w:sz w:val="24"/>
          <w:szCs w:val="24"/>
        </w:rPr>
        <w:t xml:space="preserve">Efekti uvedenog moratorija na zapošljavanje u federalnim organima uprave su rezultirali uštedama na pozicijama plaća i naknada </w:t>
      </w:r>
      <w:r w:rsidR="00834D88">
        <w:rPr>
          <w:rFonts w:asciiTheme="majorHAnsi" w:hAnsiTheme="majorHAnsi" w:cs="Arial"/>
          <w:sz w:val="24"/>
          <w:szCs w:val="24"/>
        </w:rPr>
        <w:t>u ukupnom iznosu od 10,3 mil KM</w:t>
      </w:r>
      <w:r w:rsidR="00AD292F" w:rsidRPr="000B484C">
        <w:rPr>
          <w:rFonts w:asciiTheme="majorHAnsi" w:hAnsiTheme="majorHAnsi" w:cs="Arial"/>
          <w:sz w:val="24"/>
          <w:szCs w:val="24"/>
        </w:rPr>
        <w:t xml:space="preserve">. Takođe su umanjena </w:t>
      </w:r>
      <w:r w:rsidR="00016152" w:rsidRPr="000B484C">
        <w:rPr>
          <w:rFonts w:asciiTheme="majorHAnsi" w:hAnsiTheme="majorHAnsi" w:cs="Arial"/>
          <w:sz w:val="24"/>
          <w:szCs w:val="24"/>
        </w:rPr>
        <w:t xml:space="preserve"> sredstva u iznosu od 2,0 mil. KM za sufinansiranje projekata putem fondacije ODRAZ. </w:t>
      </w:r>
    </w:p>
    <w:p w:rsidR="00AD292F" w:rsidRPr="000B484C" w:rsidRDefault="00AD292F" w:rsidP="00AD292F">
      <w:pPr>
        <w:pStyle w:val="ListParagraph"/>
        <w:rPr>
          <w:rFonts w:asciiTheme="majorHAnsi" w:hAnsiTheme="majorHAnsi" w:cs="Arial"/>
          <w:sz w:val="24"/>
          <w:szCs w:val="24"/>
        </w:rPr>
      </w:pPr>
    </w:p>
    <w:p w:rsidR="00AD292F" w:rsidRPr="00AD292F" w:rsidRDefault="00AD292F" w:rsidP="00AD292F">
      <w:pPr>
        <w:pStyle w:val="ListParagraph"/>
        <w:spacing w:after="0" w:line="240" w:lineRule="auto"/>
        <w:jc w:val="both"/>
        <w:rPr>
          <w:rFonts w:asciiTheme="majorHAnsi" w:hAnsiTheme="majorHAnsi" w:cs="Arial"/>
          <w:sz w:val="24"/>
          <w:szCs w:val="24"/>
        </w:rPr>
      </w:pPr>
    </w:p>
    <w:p w:rsidR="00D6238E" w:rsidRPr="00D6238E" w:rsidRDefault="00E73E0E" w:rsidP="00DD64E5">
      <w:pPr>
        <w:spacing w:after="0" w:line="240" w:lineRule="auto"/>
        <w:jc w:val="both"/>
        <w:rPr>
          <w:rFonts w:asciiTheme="majorHAnsi" w:hAnsiTheme="majorHAnsi" w:cs="Arial"/>
          <w:sz w:val="24"/>
          <w:szCs w:val="24"/>
        </w:rPr>
      </w:pPr>
      <w:r w:rsidRPr="00D6238E">
        <w:rPr>
          <w:rFonts w:asciiTheme="majorHAnsi" w:hAnsiTheme="majorHAnsi" w:cs="Arial"/>
          <w:sz w:val="24"/>
          <w:szCs w:val="24"/>
        </w:rPr>
        <w:t>Kapitaln</w:t>
      </w:r>
      <w:r w:rsidR="00125C24" w:rsidRPr="00D6238E">
        <w:rPr>
          <w:rFonts w:asciiTheme="majorHAnsi" w:hAnsiTheme="majorHAnsi" w:cs="Arial"/>
          <w:sz w:val="24"/>
          <w:szCs w:val="24"/>
        </w:rPr>
        <w:t xml:space="preserve">i transferi su </w:t>
      </w:r>
      <w:r w:rsidR="003E676F">
        <w:rPr>
          <w:rFonts w:asciiTheme="majorHAnsi" w:hAnsiTheme="majorHAnsi" w:cs="Arial"/>
          <w:sz w:val="24"/>
          <w:szCs w:val="24"/>
        </w:rPr>
        <w:t>smanjeni</w:t>
      </w:r>
      <w:r w:rsidR="00125C24" w:rsidRPr="00D6238E">
        <w:rPr>
          <w:rFonts w:asciiTheme="majorHAnsi" w:hAnsiTheme="majorHAnsi" w:cs="Arial"/>
          <w:sz w:val="24"/>
          <w:szCs w:val="24"/>
        </w:rPr>
        <w:t xml:space="preserve"> za oko </w:t>
      </w:r>
      <w:r w:rsidR="00834D88">
        <w:rPr>
          <w:rFonts w:asciiTheme="majorHAnsi" w:hAnsiTheme="majorHAnsi" w:cs="Arial"/>
          <w:sz w:val="24"/>
          <w:szCs w:val="24"/>
        </w:rPr>
        <w:t>3</w:t>
      </w:r>
      <w:r w:rsidRPr="00D6238E">
        <w:rPr>
          <w:rFonts w:asciiTheme="majorHAnsi" w:hAnsiTheme="majorHAnsi" w:cs="Arial"/>
          <w:sz w:val="24"/>
          <w:szCs w:val="24"/>
        </w:rPr>
        <w:t>,</w:t>
      </w:r>
      <w:r w:rsidR="00834D88">
        <w:rPr>
          <w:rFonts w:asciiTheme="majorHAnsi" w:hAnsiTheme="majorHAnsi" w:cs="Arial"/>
          <w:sz w:val="24"/>
          <w:szCs w:val="24"/>
        </w:rPr>
        <w:t>3</w:t>
      </w:r>
      <w:r w:rsidR="00D6238E" w:rsidRPr="00D6238E">
        <w:rPr>
          <w:rFonts w:asciiTheme="majorHAnsi" w:hAnsiTheme="majorHAnsi" w:cs="Arial"/>
          <w:sz w:val="24"/>
          <w:szCs w:val="24"/>
        </w:rPr>
        <w:t xml:space="preserve"> mil. KM, </w:t>
      </w:r>
      <w:r w:rsidR="003E676F">
        <w:rPr>
          <w:rFonts w:asciiTheme="majorHAnsi" w:hAnsiTheme="majorHAnsi" w:cs="Arial"/>
          <w:sz w:val="24"/>
          <w:szCs w:val="24"/>
        </w:rPr>
        <w:t>a</w:t>
      </w:r>
      <w:r w:rsidRPr="00D6238E">
        <w:rPr>
          <w:rFonts w:asciiTheme="majorHAnsi" w:hAnsiTheme="majorHAnsi" w:cs="Arial"/>
          <w:sz w:val="24"/>
          <w:szCs w:val="24"/>
        </w:rPr>
        <w:t xml:space="preserve"> izdaci za kamate</w:t>
      </w:r>
      <w:r w:rsidR="00D6238E" w:rsidRPr="00D6238E">
        <w:rPr>
          <w:rFonts w:asciiTheme="majorHAnsi" w:hAnsiTheme="majorHAnsi" w:cs="Arial"/>
          <w:sz w:val="24"/>
          <w:szCs w:val="24"/>
        </w:rPr>
        <w:t xml:space="preserve"> smanjeni za 3</w:t>
      </w:r>
      <w:r w:rsidRPr="00D6238E">
        <w:rPr>
          <w:rFonts w:asciiTheme="majorHAnsi" w:hAnsiTheme="majorHAnsi" w:cs="Arial"/>
          <w:sz w:val="24"/>
          <w:szCs w:val="24"/>
        </w:rPr>
        <w:t>,</w:t>
      </w:r>
      <w:r w:rsidR="00D6238E" w:rsidRPr="00D6238E">
        <w:rPr>
          <w:rFonts w:asciiTheme="majorHAnsi" w:hAnsiTheme="majorHAnsi" w:cs="Arial"/>
          <w:sz w:val="24"/>
          <w:szCs w:val="24"/>
        </w:rPr>
        <w:t>0</w:t>
      </w:r>
      <w:r w:rsidRPr="00D6238E">
        <w:rPr>
          <w:rFonts w:asciiTheme="majorHAnsi" w:hAnsiTheme="majorHAnsi" w:cs="Arial"/>
          <w:sz w:val="24"/>
          <w:szCs w:val="24"/>
        </w:rPr>
        <w:t xml:space="preserve"> mil. KM. </w:t>
      </w:r>
    </w:p>
    <w:p w:rsidR="00D6238E" w:rsidRDefault="00D6238E" w:rsidP="00DD64E5">
      <w:pPr>
        <w:spacing w:after="0" w:line="240" w:lineRule="auto"/>
        <w:jc w:val="both"/>
        <w:rPr>
          <w:rFonts w:asciiTheme="majorHAnsi" w:hAnsiTheme="majorHAnsi" w:cs="Arial"/>
          <w:sz w:val="24"/>
          <w:szCs w:val="24"/>
          <w:highlight w:val="yellow"/>
        </w:rPr>
      </w:pPr>
    </w:p>
    <w:p w:rsidR="006C49DA" w:rsidRPr="006C49DA" w:rsidRDefault="00D6238E" w:rsidP="00DD64E5">
      <w:pPr>
        <w:spacing w:after="0" w:line="240" w:lineRule="auto"/>
        <w:jc w:val="both"/>
        <w:rPr>
          <w:rFonts w:asciiTheme="majorHAnsi" w:hAnsiTheme="majorHAnsi" w:cs="Arial"/>
          <w:sz w:val="24"/>
          <w:szCs w:val="24"/>
        </w:rPr>
      </w:pPr>
      <w:r w:rsidRPr="006C49DA">
        <w:rPr>
          <w:rFonts w:asciiTheme="majorHAnsi" w:hAnsiTheme="majorHAnsi" w:cs="Arial"/>
          <w:sz w:val="24"/>
          <w:szCs w:val="24"/>
        </w:rPr>
        <w:t>Također, izdaci</w:t>
      </w:r>
      <w:r w:rsidR="00E73E0E" w:rsidRPr="006C49DA">
        <w:rPr>
          <w:rFonts w:asciiTheme="majorHAnsi" w:hAnsiTheme="majorHAnsi" w:cs="Arial"/>
          <w:sz w:val="24"/>
          <w:szCs w:val="24"/>
        </w:rPr>
        <w:t xml:space="preserve"> za nabavku stalnih sredstava </w:t>
      </w:r>
      <w:r w:rsidRPr="006C49DA">
        <w:rPr>
          <w:rFonts w:asciiTheme="majorHAnsi" w:hAnsiTheme="majorHAnsi" w:cs="Arial"/>
          <w:sz w:val="24"/>
          <w:szCs w:val="24"/>
        </w:rPr>
        <w:t xml:space="preserve">smanjeni su </w:t>
      </w:r>
      <w:r w:rsidR="00E73E0E" w:rsidRPr="006C49DA">
        <w:rPr>
          <w:rFonts w:asciiTheme="majorHAnsi" w:hAnsiTheme="majorHAnsi" w:cs="Arial"/>
          <w:sz w:val="24"/>
          <w:szCs w:val="24"/>
        </w:rPr>
        <w:t xml:space="preserve">u iznosu od oko </w:t>
      </w:r>
      <w:r w:rsidRPr="006C49DA">
        <w:rPr>
          <w:rFonts w:asciiTheme="majorHAnsi" w:hAnsiTheme="majorHAnsi" w:cs="Arial"/>
          <w:sz w:val="24"/>
          <w:szCs w:val="24"/>
        </w:rPr>
        <w:t>4</w:t>
      </w:r>
      <w:r w:rsidR="00E73E0E" w:rsidRPr="006C49DA">
        <w:rPr>
          <w:rFonts w:asciiTheme="majorHAnsi" w:hAnsiTheme="majorHAnsi" w:cs="Arial"/>
          <w:sz w:val="24"/>
          <w:szCs w:val="24"/>
        </w:rPr>
        <w:t>,</w:t>
      </w:r>
      <w:r w:rsidR="003E676F">
        <w:rPr>
          <w:rFonts w:asciiTheme="majorHAnsi" w:hAnsiTheme="majorHAnsi" w:cs="Arial"/>
          <w:sz w:val="24"/>
          <w:szCs w:val="24"/>
        </w:rPr>
        <w:t>3</w:t>
      </w:r>
      <w:r w:rsidR="00E73E0E" w:rsidRPr="006C49DA">
        <w:rPr>
          <w:rFonts w:asciiTheme="majorHAnsi" w:hAnsiTheme="majorHAnsi" w:cs="Arial"/>
          <w:sz w:val="24"/>
          <w:szCs w:val="24"/>
        </w:rPr>
        <w:t xml:space="preserve"> mil. KM</w:t>
      </w:r>
      <w:r w:rsidRPr="006C49DA">
        <w:rPr>
          <w:rFonts w:asciiTheme="majorHAnsi" w:hAnsiTheme="majorHAnsi" w:cs="Arial"/>
          <w:sz w:val="24"/>
          <w:szCs w:val="24"/>
        </w:rPr>
        <w:t xml:space="preserve">, dok su </w:t>
      </w:r>
      <w:r w:rsidR="00125C24" w:rsidRPr="006C49DA">
        <w:rPr>
          <w:rFonts w:asciiTheme="majorHAnsi" w:hAnsiTheme="majorHAnsi" w:cs="Arial"/>
          <w:sz w:val="24"/>
          <w:szCs w:val="24"/>
        </w:rPr>
        <w:t>izda</w:t>
      </w:r>
      <w:r w:rsidRPr="006C49DA">
        <w:rPr>
          <w:rFonts w:asciiTheme="majorHAnsi" w:hAnsiTheme="majorHAnsi" w:cs="Arial"/>
          <w:sz w:val="24"/>
          <w:szCs w:val="24"/>
        </w:rPr>
        <w:t>ci</w:t>
      </w:r>
      <w:r w:rsidR="00125C24" w:rsidRPr="006C49DA">
        <w:rPr>
          <w:rFonts w:asciiTheme="majorHAnsi" w:hAnsiTheme="majorHAnsi" w:cs="Arial"/>
          <w:sz w:val="24"/>
          <w:szCs w:val="24"/>
        </w:rPr>
        <w:t xml:space="preserve"> za finansijsku imovinu</w:t>
      </w:r>
      <w:r w:rsidRPr="006C49DA">
        <w:rPr>
          <w:rFonts w:asciiTheme="majorHAnsi" w:hAnsiTheme="majorHAnsi" w:cs="Arial"/>
          <w:sz w:val="24"/>
          <w:szCs w:val="24"/>
        </w:rPr>
        <w:t xml:space="preserve"> smanjeni </w:t>
      </w:r>
      <w:r w:rsidR="00125C24" w:rsidRPr="006C49DA">
        <w:rPr>
          <w:rFonts w:asciiTheme="majorHAnsi" w:hAnsiTheme="majorHAnsi" w:cs="Arial"/>
          <w:sz w:val="24"/>
          <w:szCs w:val="24"/>
        </w:rPr>
        <w:t>u iznosu od 2,</w:t>
      </w:r>
      <w:r w:rsidR="006C49DA" w:rsidRPr="006C49DA">
        <w:rPr>
          <w:rFonts w:asciiTheme="majorHAnsi" w:hAnsiTheme="majorHAnsi" w:cs="Arial"/>
          <w:sz w:val="24"/>
          <w:szCs w:val="24"/>
        </w:rPr>
        <w:t>5</w:t>
      </w:r>
      <w:r w:rsidR="00125C24" w:rsidRPr="006C49DA">
        <w:rPr>
          <w:rFonts w:asciiTheme="majorHAnsi" w:hAnsiTheme="majorHAnsi" w:cs="Arial"/>
          <w:sz w:val="24"/>
          <w:szCs w:val="24"/>
        </w:rPr>
        <w:t xml:space="preserve"> mil. KM.</w:t>
      </w:r>
    </w:p>
    <w:p w:rsidR="006C49DA" w:rsidRPr="006C49DA" w:rsidRDefault="006C49DA" w:rsidP="00DD64E5">
      <w:pPr>
        <w:spacing w:after="0" w:line="240" w:lineRule="auto"/>
        <w:jc w:val="both"/>
        <w:rPr>
          <w:rFonts w:asciiTheme="majorHAnsi" w:hAnsiTheme="majorHAnsi" w:cs="Arial"/>
          <w:sz w:val="24"/>
          <w:szCs w:val="24"/>
        </w:rPr>
      </w:pPr>
    </w:p>
    <w:p w:rsidR="00E73E0E" w:rsidRPr="006C49DA" w:rsidRDefault="006C49DA" w:rsidP="00DD64E5">
      <w:pPr>
        <w:spacing w:after="0" w:line="240" w:lineRule="auto"/>
        <w:jc w:val="both"/>
        <w:rPr>
          <w:rFonts w:asciiTheme="majorHAnsi" w:hAnsiTheme="majorHAnsi" w:cs="Arial"/>
          <w:b/>
          <w:sz w:val="24"/>
          <w:szCs w:val="24"/>
        </w:rPr>
      </w:pPr>
      <w:r w:rsidRPr="006C49DA">
        <w:rPr>
          <w:rFonts w:asciiTheme="majorHAnsi" w:hAnsiTheme="majorHAnsi" w:cs="Arial"/>
          <w:sz w:val="24"/>
          <w:szCs w:val="24"/>
        </w:rPr>
        <w:t xml:space="preserve">Što se tiče </w:t>
      </w:r>
      <w:r w:rsidR="00E73E0E" w:rsidRPr="006C49DA">
        <w:rPr>
          <w:rFonts w:asciiTheme="majorHAnsi" w:hAnsiTheme="majorHAnsi" w:cs="Arial"/>
          <w:sz w:val="24"/>
          <w:szCs w:val="24"/>
        </w:rPr>
        <w:t xml:space="preserve">izdataka za otplatu </w:t>
      </w:r>
      <w:r w:rsidRPr="006C49DA">
        <w:rPr>
          <w:rFonts w:asciiTheme="majorHAnsi" w:hAnsiTheme="majorHAnsi" w:cs="Arial"/>
          <w:sz w:val="24"/>
          <w:szCs w:val="24"/>
        </w:rPr>
        <w:t xml:space="preserve">dugova, isti su smanjeni u iznosu </w:t>
      </w:r>
      <w:r w:rsidR="00E73E0E" w:rsidRPr="006C49DA">
        <w:rPr>
          <w:rFonts w:asciiTheme="majorHAnsi" w:hAnsiTheme="majorHAnsi" w:cs="Arial"/>
          <w:sz w:val="24"/>
          <w:szCs w:val="24"/>
        </w:rPr>
        <w:t xml:space="preserve">od oko </w:t>
      </w:r>
      <w:r w:rsidRPr="006C49DA">
        <w:rPr>
          <w:rFonts w:asciiTheme="majorHAnsi" w:hAnsiTheme="majorHAnsi" w:cs="Arial"/>
          <w:sz w:val="24"/>
          <w:szCs w:val="24"/>
        </w:rPr>
        <w:t>62</w:t>
      </w:r>
      <w:r w:rsidR="00E73E0E" w:rsidRPr="006C49DA">
        <w:rPr>
          <w:rFonts w:asciiTheme="majorHAnsi" w:hAnsiTheme="majorHAnsi" w:cs="Arial"/>
          <w:sz w:val="24"/>
          <w:szCs w:val="24"/>
        </w:rPr>
        <w:t>,</w:t>
      </w:r>
      <w:r w:rsidRPr="006C49DA">
        <w:rPr>
          <w:rFonts w:asciiTheme="majorHAnsi" w:hAnsiTheme="majorHAnsi" w:cs="Arial"/>
          <w:sz w:val="24"/>
          <w:szCs w:val="24"/>
        </w:rPr>
        <w:t>8</w:t>
      </w:r>
      <w:r w:rsidR="00E73E0E" w:rsidRPr="006C49DA">
        <w:rPr>
          <w:rFonts w:asciiTheme="majorHAnsi" w:hAnsiTheme="majorHAnsi" w:cs="Arial"/>
          <w:sz w:val="24"/>
          <w:szCs w:val="24"/>
        </w:rPr>
        <w:t xml:space="preserve"> mil. KM. </w:t>
      </w:r>
    </w:p>
    <w:p w:rsidR="00DD64E5" w:rsidRPr="006C49DA" w:rsidRDefault="00DD64E5" w:rsidP="00DD64E5">
      <w:pPr>
        <w:spacing w:after="0" w:line="240" w:lineRule="auto"/>
        <w:jc w:val="both"/>
        <w:rPr>
          <w:rFonts w:asciiTheme="majorHAnsi" w:hAnsiTheme="majorHAnsi" w:cs="Arial"/>
          <w:b/>
          <w:sz w:val="24"/>
          <w:szCs w:val="24"/>
        </w:rPr>
      </w:pPr>
    </w:p>
    <w:p w:rsidR="00165AC8" w:rsidRPr="00C01A87" w:rsidRDefault="00E73E0E" w:rsidP="00DD64E5">
      <w:pPr>
        <w:jc w:val="both"/>
        <w:rPr>
          <w:rFonts w:asciiTheme="majorHAnsi" w:hAnsiTheme="majorHAnsi" w:cs="Arial"/>
          <w:sz w:val="24"/>
          <w:szCs w:val="24"/>
          <w:lang w:val="en-US"/>
        </w:rPr>
      </w:pPr>
      <w:r w:rsidRPr="00C01A87">
        <w:rPr>
          <w:rFonts w:asciiTheme="majorHAnsi" w:hAnsiTheme="majorHAnsi" w:cs="Arial"/>
          <w:sz w:val="24"/>
          <w:szCs w:val="24"/>
        </w:rPr>
        <w:t xml:space="preserve">Shodno navedenom, a </w:t>
      </w:r>
      <w:r w:rsidR="003E7961" w:rsidRPr="00C01A87">
        <w:rPr>
          <w:rFonts w:asciiTheme="majorHAnsi" w:hAnsiTheme="majorHAnsi" w:cs="Arial"/>
          <w:sz w:val="24"/>
          <w:szCs w:val="24"/>
          <w:lang w:val="en-US"/>
        </w:rPr>
        <w:t>na osnovu predložene odluke o</w:t>
      </w:r>
      <w:r w:rsidRPr="00C01A87">
        <w:rPr>
          <w:rFonts w:asciiTheme="majorHAnsi" w:hAnsiTheme="majorHAnsi" w:cs="Arial"/>
          <w:sz w:val="24"/>
          <w:szCs w:val="24"/>
          <w:lang w:val="en-US"/>
        </w:rPr>
        <w:t xml:space="preserve"> izmjena</w:t>
      </w:r>
      <w:r w:rsidR="003E7961" w:rsidRPr="00C01A87">
        <w:rPr>
          <w:rFonts w:asciiTheme="majorHAnsi" w:hAnsiTheme="majorHAnsi" w:cs="Arial"/>
          <w:sz w:val="24"/>
          <w:szCs w:val="24"/>
          <w:lang w:val="en-US"/>
        </w:rPr>
        <w:t>ma</w:t>
      </w:r>
      <w:r w:rsidRPr="00C01A87">
        <w:rPr>
          <w:rFonts w:asciiTheme="majorHAnsi" w:hAnsiTheme="majorHAnsi" w:cs="Arial"/>
          <w:sz w:val="24"/>
          <w:szCs w:val="24"/>
          <w:lang w:val="en-US"/>
        </w:rPr>
        <w:t xml:space="preserve"> i dopuna</w:t>
      </w:r>
      <w:r w:rsidR="003E7961" w:rsidRPr="00C01A87">
        <w:rPr>
          <w:rFonts w:asciiTheme="majorHAnsi" w:hAnsiTheme="majorHAnsi" w:cs="Arial"/>
          <w:sz w:val="24"/>
          <w:szCs w:val="24"/>
          <w:lang w:val="en-US"/>
        </w:rPr>
        <w:t>ma,</w:t>
      </w:r>
      <w:r w:rsidRPr="00C01A87">
        <w:rPr>
          <w:rFonts w:asciiTheme="majorHAnsi" w:hAnsiTheme="majorHAnsi" w:cs="Arial"/>
          <w:sz w:val="24"/>
          <w:szCs w:val="24"/>
          <w:lang w:val="en-US"/>
        </w:rPr>
        <w:t xml:space="preserve"> Budžet Federacije Bosne i Hercegovine za 201</w:t>
      </w:r>
      <w:r w:rsidR="00C01A87" w:rsidRPr="00C01A87">
        <w:rPr>
          <w:rFonts w:asciiTheme="majorHAnsi" w:hAnsiTheme="majorHAnsi" w:cs="Arial"/>
          <w:sz w:val="24"/>
          <w:szCs w:val="24"/>
          <w:lang w:val="en-US"/>
        </w:rPr>
        <w:t>6</w:t>
      </w:r>
      <w:r w:rsidRPr="00C01A87">
        <w:rPr>
          <w:rFonts w:asciiTheme="majorHAnsi" w:hAnsiTheme="majorHAnsi" w:cs="Arial"/>
          <w:sz w:val="24"/>
          <w:szCs w:val="24"/>
          <w:lang w:val="en-US"/>
        </w:rPr>
        <w:t xml:space="preserve">. godinu </w:t>
      </w:r>
      <w:r w:rsidR="00C01A87" w:rsidRPr="00C01A87">
        <w:rPr>
          <w:rFonts w:asciiTheme="majorHAnsi" w:hAnsiTheme="majorHAnsi" w:cs="Arial"/>
          <w:sz w:val="24"/>
          <w:szCs w:val="24"/>
          <w:lang w:val="en-US"/>
        </w:rPr>
        <w:t>smanje</w:t>
      </w:r>
      <w:r w:rsidR="00834D88">
        <w:rPr>
          <w:rFonts w:asciiTheme="majorHAnsi" w:hAnsiTheme="majorHAnsi" w:cs="Arial"/>
          <w:sz w:val="24"/>
          <w:szCs w:val="24"/>
          <w:lang w:val="en-US"/>
        </w:rPr>
        <w:t>n je u ukupnom iznosu od oko  85,7</w:t>
      </w:r>
      <w:r w:rsidRPr="00C01A87">
        <w:rPr>
          <w:rFonts w:asciiTheme="majorHAnsi" w:hAnsiTheme="majorHAnsi" w:cs="Arial"/>
          <w:sz w:val="24"/>
          <w:szCs w:val="24"/>
          <w:lang w:val="en-US"/>
        </w:rPr>
        <w:t xml:space="preserve"> mil. KM.</w:t>
      </w:r>
      <w:r w:rsidR="00DD64E5" w:rsidRPr="00C01A87">
        <w:rPr>
          <w:rFonts w:asciiTheme="majorHAnsi" w:hAnsiTheme="majorHAnsi" w:cs="Arial"/>
          <w:sz w:val="24"/>
          <w:szCs w:val="24"/>
          <w:lang w:val="en-US"/>
        </w:rPr>
        <w:t xml:space="preserve"> </w:t>
      </w:r>
    </w:p>
    <w:p w:rsidR="00152317" w:rsidRDefault="0068417D" w:rsidP="00DD64E5">
      <w:pPr>
        <w:jc w:val="both"/>
        <w:rPr>
          <w:rFonts w:asciiTheme="majorHAnsi" w:hAnsiTheme="majorHAnsi" w:cs="Arial"/>
          <w:sz w:val="24"/>
          <w:szCs w:val="24"/>
          <w:lang w:val="en-US"/>
        </w:rPr>
      </w:pPr>
      <w:r w:rsidRPr="00C01A87">
        <w:rPr>
          <w:rFonts w:asciiTheme="majorHAnsi" w:hAnsiTheme="majorHAnsi" w:cs="Arial"/>
          <w:sz w:val="24"/>
          <w:szCs w:val="24"/>
          <w:lang w:val="en-US"/>
        </w:rPr>
        <w:t xml:space="preserve">U narednoj tabeli prikazana je struktura </w:t>
      </w:r>
      <w:r w:rsidR="005E7F90">
        <w:rPr>
          <w:rFonts w:asciiTheme="majorHAnsi" w:hAnsiTheme="majorHAnsi" w:cs="Arial"/>
          <w:sz w:val="24"/>
          <w:szCs w:val="24"/>
          <w:lang w:val="en-US"/>
        </w:rPr>
        <w:t>predložene odluke o izmjenama i</w:t>
      </w:r>
      <w:r w:rsidR="003E7961" w:rsidRPr="00C01A87">
        <w:rPr>
          <w:rFonts w:asciiTheme="majorHAnsi" w:hAnsiTheme="majorHAnsi" w:cs="Arial"/>
          <w:sz w:val="24"/>
          <w:szCs w:val="24"/>
          <w:lang w:val="en-US"/>
        </w:rPr>
        <w:t xml:space="preserve"> dopunama </w:t>
      </w:r>
      <w:r w:rsidR="00C01A87" w:rsidRPr="00C01A87">
        <w:rPr>
          <w:rFonts w:asciiTheme="majorHAnsi" w:hAnsiTheme="majorHAnsi" w:cs="Arial"/>
          <w:sz w:val="24"/>
          <w:szCs w:val="24"/>
          <w:lang w:val="en-US"/>
        </w:rPr>
        <w:t>Budžeta Federacije BiH za 2016</w:t>
      </w:r>
      <w:r w:rsidRPr="00C01A87">
        <w:rPr>
          <w:rFonts w:asciiTheme="majorHAnsi" w:hAnsiTheme="majorHAnsi" w:cs="Arial"/>
          <w:sz w:val="24"/>
          <w:szCs w:val="24"/>
          <w:lang w:val="en-US"/>
        </w:rPr>
        <w:t>. godinu:</w:t>
      </w:r>
    </w:p>
    <w:p w:rsidR="009513BF" w:rsidRDefault="003E676F" w:rsidP="00DD64E5">
      <w:pPr>
        <w:jc w:val="both"/>
        <w:rPr>
          <w:rFonts w:asciiTheme="majorHAnsi" w:hAnsiTheme="majorHAnsi" w:cs="Arial"/>
          <w:sz w:val="24"/>
          <w:szCs w:val="24"/>
          <w:lang w:val="en-US"/>
        </w:rPr>
      </w:pPr>
      <w:r w:rsidRPr="003E676F">
        <w:rPr>
          <w:lang w:eastAsia="bs-Latn-BA"/>
        </w:rPr>
        <w:lastRenderedPageBreak/>
        <w:drawing>
          <wp:inline distT="0" distB="0" distL="0" distR="0">
            <wp:extent cx="5943600" cy="7263416"/>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7263416"/>
                    </a:xfrm>
                    <a:prstGeom prst="rect">
                      <a:avLst/>
                    </a:prstGeom>
                    <a:noFill/>
                    <a:ln>
                      <a:noFill/>
                    </a:ln>
                  </pic:spPr>
                </pic:pic>
              </a:graphicData>
            </a:graphic>
          </wp:inline>
        </w:drawing>
      </w:r>
    </w:p>
    <w:p w:rsidR="000930C3" w:rsidRPr="00324DF7" w:rsidRDefault="000930C3" w:rsidP="009513BF">
      <w:pPr>
        <w:tabs>
          <w:tab w:val="left" w:pos="2805"/>
        </w:tabs>
        <w:spacing w:before="240" w:after="240" w:line="240" w:lineRule="auto"/>
        <w:jc w:val="both"/>
        <w:rPr>
          <w:rFonts w:ascii="Arial" w:hAnsi="Arial" w:cs="Arial"/>
          <w:sz w:val="24"/>
          <w:szCs w:val="24"/>
          <w:lang w:val="en-US"/>
        </w:rPr>
      </w:pPr>
    </w:p>
    <w:tbl>
      <w:tblPr>
        <w:tblpPr w:leftFromText="180" w:rightFromText="180" w:vertAnchor="text" w:horzAnchor="margin" w:tblpY="89"/>
        <w:tblW w:w="5352" w:type="pct"/>
        <w:tblCellMar>
          <w:left w:w="360" w:type="dxa"/>
          <w:right w:w="360" w:type="dxa"/>
        </w:tblCellMar>
        <w:tblLook w:val="04A0" w:firstRow="1" w:lastRow="0" w:firstColumn="1" w:lastColumn="0" w:noHBand="0" w:noVBand="1"/>
      </w:tblPr>
      <w:tblGrid>
        <w:gridCol w:w="1170"/>
        <w:gridCol w:w="8849"/>
      </w:tblGrid>
      <w:tr w:rsidR="009513BF" w:rsidTr="00C26CF4">
        <w:trPr>
          <w:trHeight w:val="746"/>
        </w:trPr>
        <w:tc>
          <w:tcPr>
            <w:tcW w:w="584" w:type="pct"/>
            <w:shd w:val="clear" w:color="auto" w:fill="4F6228" w:themeFill="accent3" w:themeFillShade="80"/>
            <w:vAlign w:val="center"/>
          </w:tcPr>
          <w:p w:rsidR="009513BF" w:rsidRPr="009513BF" w:rsidRDefault="009539DA" w:rsidP="00C26CF4">
            <w:pPr>
              <w:pStyle w:val="NoSpacing"/>
              <w:jc w:val="center"/>
              <w:rPr>
                <w:rFonts w:asciiTheme="majorHAnsi" w:hAnsiTheme="majorHAnsi"/>
                <w:b/>
                <w:smallCaps/>
                <w:color w:val="FFFFFF" w:themeColor="background1"/>
                <w:sz w:val="24"/>
                <w:szCs w:val="24"/>
              </w:rPr>
            </w:pPr>
            <w:r>
              <w:rPr>
                <w:rFonts w:asciiTheme="majorHAnsi" w:hAnsiTheme="majorHAnsi"/>
                <w:b/>
                <w:smallCaps/>
                <w:color w:val="FFFFFF" w:themeColor="background1"/>
                <w:sz w:val="32"/>
                <w:szCs w:val="24"/>
              </w:rPr>
              <w:lastRenderedPageBreak/>
              <w:t>4</w:t>
            </w:r>
            <w:r w:rsidR="009513BF" w:rsidRPr="009513BF">
              <w:rPr>
                <w:rFonts w:asciiTheme="majorHAnsi" w:hAnsiTheme="majorHAnsi"/>
                <w:b/>
                <w:smallCaps/>
                <w:color w:val="FFFFFF" w:themeColor="background1"/>
                <w:sz w:val="32"/>
                <w:szCs w:val="24"/>
              </w:rPr>
              <w:t>.</w:t>
            </w:r>
          </w:p>
        </w:tc>
        <w:tc>
          <w:tcPr>
            <w:tcW w:w="4416" w:type="pct"/>
            <w:shd w:val="clear" w:color="auto" w:fill="C2D69B" w:themeFill="accent3" w:themeFillTint="99"/>
            <w:vAlign w:val="center"/>
          </w:tcPr>
          <w:p w:rsidR="009513BF" w:rsidRPr="009513BF" w:rsidRDefault="009513BF" w:rsidP="00C26CF4">
            <w:pPr>
              <w:pStyle w:val="NoSpacing"/>
              <w:rPr>
                <w:rFonts w:asciiTheme="majorHAnsi" w:hAnsiTheme="majorHAnsi"/>
                <w:b/>
                <w:smallCaps/>
                <w:color w:val="FFFFFF" w:themeColor="background1"/>
                <w:sz w:val="28"/>
                <w:szCs w:val="28"/>
                <w:lang w:val="de-DE"/>
              </w:rPr>
            </w:pPr>
            <w:r w:rsidRPr="009513BF">
              <w:rPr>
                <w:rFonts w:asciiTheme="majorHAnsi" w:hAnsiTheme="majorHAnsi"/>
                <w:b/>
                <w:smallCaps/>
                <w:sz w:val="32"/>
                <w:szCs w:val="28"/>
                <w:lang w:val="de-DE"/>
              </w:rPr>
              <w:t>PRIHODI I PRIMICI</w:t>
            </w:r>
          </w:p>
        </w:tc>
      </w:tr>
    </w:tbl>
    <w:p w:rsidR="009513BF" w:rsidRDefault="009513BF" w:rsidP="009513BF">
      <w:pPr>
        <w:tabs>
          <w:tab w:val="left" w:pos="2805"/>
        </w:tabs>
        <w:spacing w:after="0" w:line="240" w:lineRule="auto"/>
        <w:jc w:val="both"/>
        <w:rPr>
          <w:rFonts w:ascii="Arial" w:hAnsi="Arial" w:cs="Arial"/>
          <w:sz w:val="24"/>
          <w:szCs w:val="24"/>
          <w:lang w:val="en-US"/>
        </w:rPr>
      </w:pPr>
    </w:p>
    <w:p w:rsidR="0055696A" w:rsidRDefault="0055696A" w:rsidP="009513BF">
      <w:pPr>
        <w:tabs>
          <w:tab w:val="left" w:pos="2805"/>
        </w:tabs>
        <w:spacing w:after="0" w:line="240" w:lineRule="auto"/>
        <w:jc w:val="both"/>
        <w:rPr>
          <w:rFonts w:asciiTheme="majorHAnsi" w:hAnsiTheme="majorHAnsi" w:cs="Arial"/>
          <w:sz w:val="24"/>
          <w:szCs w:val="24"/>
          <w:lang w:val="en-US"/>
        </w:rPr>
      </w:pPr>
    </w:p>
    <w:p w:rsidR="003E676F" w:rsidRDefault="003E676F" w:rsidP="009513BF">
      <w:pPr>
        <w:tabs>
          <w:tab w:val="left" w:pos="2805"/>
        </w:tabs>
        <w:spacing w:after="0" w:line="240" w:lineRule="auto"/>
        <w:jc w:val="both"/>
        <w:rPr>
          <w:rFonts w:asciiTheme="majorHAnsi" w:hAnsiTheme="majorHAnsi" w:cs="Arial"/>
          <w:sz w:val="24"/>
          <w:szCs w:val="24"/>
          <w:lang w:val="en-US"/>
        </w:rPr>
      </w:pPr>
    </w:p>
    <w:p w:rsidR="009513BF" w:rsidRPr="009513BF" w:rsidRDefault="009513BF" w:rsidP="009513BF">
      <w:pPr>
        <w:tabs>
          <w:tab w:val="left" w:pos="2805"/>
        </w:tabs>
        <w:spacing w:after="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U Federaciji Bosne i Hercegovine, javni prihodi po osnovu poreza, taksi, naknada, doprinosa i drugih prihoda ostvaruju se, prikupljaju i raspoređuju prema važećim  propisima na teritoriji Federacije BiH, a služe za finansiranje funkcija Federacije, kantona, jedinica lokalne samouprave i direkcija cesta.</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rPr>
        <w:t>Postoje</w:t>
      </w:r>
      <w:r w:rsidRPr="009513BF">
        <w:rPr>
          <w:rFonts w:asciiTheme="majorHAnsi" w:hAnsiTheme="majorHAnsi" w:cs="Arial"/>
          <w:sz w:val="24"/>
          <w:szCs w:val="24"/>
          <w:lang w:val="en-US"/>
        </w:rPr>
        <w:t xml:space="preserve"> mnogobrojni rizici ostvarenja projiciranih prihoda a to su odstupanje od predviđenog ekonomskog rasta, nepredviđene promjene poreznih politika (odsustvo stabilnih koeficijenata raspodjele prihoda od indirektnih poreza i nepredviđene promjene istih i dr.), makroekonomske pretpostavke, razvoj drugih događaja (promjena nivoa zaduženosti, rad porezne administracije i dr.). Važno je istaći da povrati postaju sve izraženiji problem u posljednje vrijeme obzirom da se njihov udio u ukupnim bruto prihodima od indirektnih poreza povećava iz godine u godinu.</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Federalno ministarstvo finansija je u skladu sa projekcijama makroekonomskih indikatora za 2016. godinu dostavljenim od strane Direkcije za ekonomsko planiranje BiH i projekcijama prihoda od indirektnih poreza dostavljenih od strane Odjeljenja za makroekonomsku analizu UIO BiH, izradilo projekcije prihoda i primitaka Prijedloga odluke o izmjenama i dopunama Budžeta Federacije BiH za 2016. godinu.</w:t>
      </w:r>
    </w:p>
    <w:p w:rsidR="00834D88"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 xml:space="preserve">Ukupni prihodi i primici u Prijedlogu odluke o izmjenama i dopunama Budžeta Federacije BiH za 2016. godinu. iznose </w:t>
      </w:r>
      <w:r w:rsidR="003E676F">
        <w:rPr>
          <w:rFonts w:asciiTheme="majorHAnsi" w:hAnsiTheme="majorHAnsi" w:cs="Arial"/>
          <w:sz w:val="24"/>
          <w:szCs w:val="24"/>
        </w:rPr>
        <w:t>2.517</w:t>
      </w:r>
      <w:r w:rsidRPr="009513BF">
        <w:rPr>
          <w:rFonts w:asciiTheme="majorHAnsi" w:hAnsiTheme="majorHAnsi" w:cs="Arial"/>
          <w:sz w:val="24"/>
          <w:szCs w:val="24"/>
        </w:rPr>
        <w:t>.</w:t>
      </w:r>
      <w:r w:rsidR="00834D88">
        <w:rPr>
          <w:rFonts w:asciiTheme="majorHAnsi" w:hAnsiTheme="majorHAnsi" w:cs="Arial"/>
          <w:sz w:val="24"/>
          <w:szCs w:val="24"/>
        </w:rPr>
        <w:t>180.917</w:t>
      </w:r>
      <w:r w:rsidRPr="009513BF">
        <w:rPr>
          <w:rFonts w:asciiTheme="majorHAnsi" w:hAnsiTheme="majorHAnsi" w:cs="Arial"/>
          <w:sz w:val="24"/>
          <w:szCs w:val="24"/>
        </w:rPr>
        <w:t>,00</w:t>
      </w:r>
      <w:r w:rsidRPr="009513BF">
        <w:rPr>
          <w:rFonts w:asciiTheme="majorHAnsi" w:hAnsiTheme="majorHAnsi" w:cs="Arial"/>
          <w:sz w:val="24"/>
          <w:szCs w:val="24"/>
          <w:lang w:val="en-US"/>
        </w:rPr>
        <w:t xml:space="preserve"> KM,</w:t>
      </w:r>
      <w:r w:rsidR="00D72233">
        <w:rPr>
          <w:rFonts w:asciiTheme="majorHAnsi" w:hAnsiTheme="majorHAnsi" w:cs="Arial"/>
          <w:sz w:val="24"/>
          <w:szCs w:val="24"/>
          <w:lang w:val="en-US"/>
        </w:rPr>
        <w:t xml:space="preserve"> što predstavlja smanjenje </w:t>
      </w:r>
      <w:r w:rsidR="003E676F">
        <w:rPr>
          <w:rFonts w:asciiTheme="majorHAnsi" w:hAnsiTheme="majorHAnsi" w:cs="Arial"/>
          <w:sz w:val="24"/>
          <w:szCs w:val="24"/>
          <w:lang w:val="en-US"/>
        </w:rPr>
        <w:t xml:space="preserve"> od 81</w:t>
      </w:r>
      <w:r w:rsidR="00834D88">
        <w:rPr>
          <w:rFonts w:asciiTheme="majorHAnsi" w:hAnsiTheme="majorHAnsi" w:cs="Arial"/>
          <w:sz w:val="24"/>
          <w:szCs w:val="24"/>
          <w:lang w:val="en-US"/>
        </w:rPr>
        <w:t>,7</w:t>
      </w:r>
      <w:r w:rsidRPr="009513BF">
        <w:rPr>
          <w:rFonts w:asciiTheme="majorHAnsi" w:hAnsiTheme="majorHAnsi" w:cs="Arial"/>
          <w:sz w:val="24"/>
          <w:szCs w:val="24"/>
          <w:lang w:val="en-US"/>
        </w:rPr>
        <w:t xml:space="preserve"> mil. KM ili 3,0%</w:t>
      </w:r>
      <w:r w:rsidR="00D72233">
        <w:rPr>
          <w:rFonts w:asciiTheme="majorHAnsi" w:hAnsiTheme="majorHAnsi" w:cs="Arial"/>
          <w:sz w:val="24"/>
          <w:szCs w:val="24"/>
          <w:lang w:val="en-US"/>
        </w:rPr>
        <w:t xml:space="preserve"> </w:t>
      </w:r>
      <w:r w:rsidRPr="009513BF">
        <w:rPr>
          <w:rFonts w:asciiTheme="majorHAnsi" w:hAnsiTheme="majorHAnsi" w:cs="Arial"/>
          <w:sz w:val="24"/>
          <w:szCs w:val="24"/>
          <w:lang w:val="en-US"/>
        </w:rPr>
        <w:t xml:space="preserve"> u odnosu na Budžet Federacije BiH za 2016. godinu.</w:t>
      </w:r>
    </w:p>
    <w:p w:rsidR="00A03F7B"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Na sljedeć</w:t>
      </w:r>
      <w:r w:rsidR="00B24F73">
        <w:rPr>
          <w:rFonts w:asciiTheme="majorHAnsi" w:hAnsiTheme="majorHAnsi" w:cs="Arial"/>
          <w:sz w:val="24"/>
          <w:szCs w:val="24"/>
          <w:lang w:val="en-US"/>
        </w:rPr>
        <w:t>em</w:t>
      </w:r>
      <w:r w:rsidR="00A03F7B">
        <w:rPr>
          <w:rFonts w:asciiTheme="majorHAnsi" w:hAnsiTheme="majorHAnsi" w:cs="Arial"/>
          <w:sz w:val="24"/>
          <w:szCs w:val="24"/>
          <w:lang w:val="en-US"/>
        </w:rPr>
        <w:t xml:space="preserve"> </w:t>
      </w:r>
      <w:r w:rsidR="00B24F73">
        <w:rPr>
          <w:rFonts w:asciiTheme="majorHAnsi" w:hAnsiTheme="majorHAnsi" w:cs="Arial"/>
          <w:sz w:val="24"/>
          <w:szCs w:val="24"/>
          <w:lang w:val="en-US"/>
        </w:rPr>
        <w:t>grafikonu</w:t>
      </w:r>
      <w:r w:rsidR="00A03F7B">
        <w:rPr>
          <w:rFonts w:asciiTheme="majorHAnsi" w:hAnsiTheme="majorHAnsi" w:cs="Arial"/>
          <w:sz w:val="24"/>
          <w:szCs w:val="24"/>
          <w:lang w:val="en-US"/>
        </w:rPr>
        <w:t xml:space="preserve"> </w:t>
      </w:r>
      <w:r w:rsidRPr="009513BF">
        <w:rPr>
          <w:rFonts w:asciiTheme="majorHAnsi" w:hAnsiTheme="majorHAnsi" w:cs="Arial"/>
          <w:sz w:val="24"/>
          <w:szCs w:val="24"/>
          <w:lang w:val="en-US"/>
        </w:rPr>
        <w:t xml:space="preserve">prikazan je uporedni prikaz promjene pojedinih prihoda i primitaka u Prijedlogu odluke o izmjenama i dopunama Budžeta Federacije BiH za </w:t>
      </w:r>
      <w:r w:rsidR="000930C3">
        <w:rPr>
          <w:rFonts w:asciiTheme="majorHAnsi" w:hAnsiTheme="majorHAnsi" w:cs="Arial"/>
          <w:sz w:val="24"/>
          <w:szCs w:val="24"/>
          <w:lang w:val="en-US"/>
        </w:rPr>
        <w:t>2016</w:t>
      </w:r>
      <w:r w:rsidR="00A03F7B">
        <w:rPr>
          <w:rFonts w:asciiTheme="majorHAnsi" w:hAnsiTheme="majorHAnsi" w:cs="Arial"/>
          <w:sz w:val="24"/>
          <w:szCs w:val="24"/>
          <w:lang w:val="en-US"/>
        </w:rPr>
        <w:t xml:space="preserve"> godinu:</w:t>
      </w:r>
      <w:r w:rsidR="000930C3">
        <w:rPr>
          <w:rFonts w:asciiTheme="majorHAnsi" w:hAnsiTheme="majorHAnsi" w:cs="Arial"/>
          <w:sz w:val="24"/>
          <w:szCs w:val="24"/>
          <w:lang w:val="en-US"/>
        </w:rPr>
        <w:t xml:space="preserve"> </w:t>
      </w:r>
    </w:p>
    <w:p w:rsidR="009513BF" w:rsidRPr="009513BF" w:rsidRDefault="003E676F" w:rsidP="009513BF">
      <w:pPr>
        <w:tabs>
          <w:tab w:val="left" w:pos="2805"/>
        </w:tabs>
        <w:spacing w:before="240" w:after="240" w:line="240" w:lineRule="auto"/>
        <w:jc w:val="center"/>
        <w:rPr>
          <w:rFonts w:asciiTheme="majorHAnsi" w:hAnsiTheme="majorHAnsi" w:cs="Arial"/>
          <w:sz w:val="24"/>
          <w:szCs w:val="24"/>
          <w:lang w:val="en-US"/>
        </w:rPr>
      </w:pPr>
      <w:r>
        <w:rPr>
          <w:lang w:eastAsia="bs-Latn-BA"/>
        </w:rPr>
        <w:drawing>
          <wp:inline distT="0" distB="0" distL="0" distR="0" wp14:anchorId="68F777E3" wp14:editId="5AD521FC">
            <wp:extent cx="5410200" cy="219075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73FDC" w:rsidRDefault="00073FDC" w:rsidP="009513BF">
      <w:pPr>
        <w:tabs>
          <w:tab w:val="left" w:pos="2805"/>
        </w:tabs>
        <w:spacing w:before="240" w:after="240" w:line="240" w:lineRule="auto"/>
        <w:jc w:val="both"/>
        <w:rPr>
          <w:rFonts w:asciiTheme="majorHAnsi" w:hAnsiTheme="majorHAnsi" w:cs="Arial"/>
          <w:sz w:val="24"/>
          <w:szCs w:val="24"/>
          <w:lang w:val="en-US"/>
        </w:rPr>
      </w:pPr>
    </w:p>
    <w:p w:rsid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lastRenderedPageBreak/>
        <w:t>U narednoj tabeli prikazana je struktura prihoda i primitaka u Prijedlogu odluke o izmjenama i dopunama Budžeta Federacije BiH za 2016. godinu., te njihova promjena u odnosu na Budžet Federacije BiH za 2016. godinu:</w:t>
      </w:r>
    </w:p>
    <w:p w:rsidR="009513BF" w:rsidRPr="009513BF" w:rsidRDefault="003E676F" w:rsidP="003E676F">
      <w:pPr>
        <w:tabs>
          <w:tab w:val="left" w:pos="2805"/>
        </w:tabs>
        <w:spacing w:before="240" w:after="240" w:line="240" w:lineRule="auto"/>
        <w:jc w:val="center"/>
        <w:rPr>
          <w:rFonts w:asciiTheme="majorHAnsi" w:hAnsiTheme="majorHAnsi" w:cs="Arial"/>
          <w:sz w:val="24"/>
          <w:szCs w:val="24"/>
          <w:lang w:val="en-US"/>
        </w:rPr>
      </w:pPr>
      <w:r w:rsidRPr="003E676F">
        <w:rPr>
          <w:lang w:eastAsia="bs-Latn-BA"/>
        </w:rPr>
        <w:drawing>
          <wp:inline distT="0" distB="0" distL="0" distR="0">
            <wp:extent cx="5619750" cy="50387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9750" cy="5038725"/>
                    </a:xfrm>
                    <a:prstGeom prst="rect">
                      <a:avLst/>
                    </a:prstGeom>
                    <a:noFill/>
                    <a:ln>
                      <a:noFill/>
                    </a:ln>
                  </pic:spPr>
                </pic:pic>
              </a:graphicData>
            </a:graphic>
          </wp:inline>
        </w:drawing>
      </w:r>
    </w:p>
    <w:p w:rsidR="00AD292F" w:rsidRDefault="00AD292F" w:rsidP="009513BF">
      <w:pPr>
        <w:spacing w:before="240" w:after="240" w:line="240" w:lineRule="auto"/>
        <w:jc w:val="both"/>
        <w:rPr>
          <w:rFonts w:asciiTheme="majorHAnsi" w:hAnsiTheme="majorHAnsi" w:cs="Arial"/>
          <w:b/>
          <w:sz w:val="24"/>
          <w:szCs w:val="24"/>
        </w:rPr>
      </w:pPr>
    </w:p>
    <w:p w:rsidR="009513BF" w:rsidRPr="009513BF" w:rsidRDefault="009539DA" w:rsidP="009513BF">
      <w:pPr>
        <w:spacing w:before="240" w:after="240" w:line="240" w:lineRule="auto"/>
        <w:jc w:val="both"/>
        <w:rPr>
          <w:rFonts w:asciiTheme="majorHAnsi" w:hAnsiTheme="majorHAnsi" w:cs="Arial"/>
          <w:b/>
          <w:sz w:val="24"/>
          <w:szCs w:val="24"/>
        </w:rPr>
      </w:pPr>
      <w:r>
        <w:rPr>
          <w:rFonts w:asciiTheme="majorHAnsi" w:hAnsiTheme="majorHAnsi" w:cs="Arial"/>
          <w:b/>
          <w:sz w:val="24"/>
          <w:szCs w:val="24"/>
        </w:rPr>
        <w:t>4</w:t>
      </w:r>
      <w:r w:rsidR="009513BF" w:rsidRPr="009513BF">
        <w:rPr>
          <w:rFonts w:asciiTheme="majorHAnsi" w:hAnsiTheme="majorHAnsi" w:cs="Arial"/>
          <w:b/>
          <w:sz w:val="24"/>
          <w:szCs w:val="24"/>
        </w:rPr>
        <w:t>.1. STRUKTURA PRIHODA I PRIMITAKA</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Prihodi od poreza</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 xml:space="preserve">Ukupni prihodi od poreza projicirani u Prijedlogu odluke o izmjenama i dopunama Budžeta Federacije BiH </w:t>
      </w:r>
      <w:r w:rsidR="005309F7">
        <w:rPr>
          <w:rFonts w:asciiTheme="majorHAnsi" w:hAnsiTheme="majorHAnsi" w:cs="Arial"/>
          <w:sz w:val="24"/>
          <w:szCs w:val="24"/>
          <w:lang w:val="en-US"/>
        </w:rPr>
        <w:t xml:space="preserve">za 2016. godinu. iznose 1.451.011.989,00 </w:t>
      </w:r>
      <w:r w:rsidRPr="009513BF">
        <w:rPr>
          <w:rFonts w:asciiTheme="majorHAnsi" w:hAnsiTheme="majorHAnsi" w:cs="Arial"/>
          <w:sz w:val="24"/>
          <w:szCs w:val="24"/>
          <w:lang w:val="en-US"/>
        </w:rPr>
        <w:t xml:space="preserve"> KM i u odnosu na prethodni budžet veći su za 10,4 mil. KM ili 0,7%.</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Prihode od poreza čine prihodi od poreza na dobit pojedinaca i preduzeća i prihodi od indirektnih poreza sa jedinstvenog računa Uprave za indirektno oporezivanje BiH.</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lastRenderedPageBreak/>
        <w:t>Prihod od poreza na dobit pojedinaca i preduz</w:t>
      </w:r>
      <w:r w:rsidR="003E676F">
        <w:rPr>
          <w:rFonts w:asciiTheme="majorHAnsi" w:hAnsiTheme="majorHAnsi" w:cs="Arial"/>
          <w:sz w:val="24"/>
          <w:szCs w:val="24"/>
          <w:lang w:val="en-US"/>
        </w:rPr>
        <w:t>eća planiran je u iznosu od 55,1 mil. KM</w:t>
      </w:r>
      <w:r w:rsidRPr="009513BF">
        <w:rPr>
          <w:rFonts w:asciiTheme="majorHAnsi" w:hAnsiTheme="majorHAnsi" w:cs="Arial"/>
          <w:sz w:val="24"/>
          <w:szCs w:val="24"/>
          <w:lang w:val="en-US"/>
        </w:rPr>
        <w:t>, što je za 10,4 mil. KM ili 23,3% više u odnosu na iznos u Budžetu Federacije BiH za 2016. godinu.</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 xml:space="preserve">Prihodi od indirektnih poreza prikupljaju se na Jedinstvenom računu Uprave za indirektno oporezivanje BiH i obuhvataju PDV, carine, akcize, naknade za ceste i ostale prihode i dadžbine. Na osnovu revidiranih projekcija prihoda od indirektnih poreza, dostavljenih od strane Odjeljenja za makroekonomsku analizu Uprave za indirektno oporezivanje BiH, Prijedlogom odluke o izmjenama i dopunama Budžeta Federacije BiH za 2016. godinu. bruto i neto prihodi od indirektnih poreza planirani su u istom iznosu kao i Budžetom Federacije BiH za 2016. godinu. </w:t>
      </w:r>
      <w:r w:rsidRPr="009513BF">
        <w:rPr>
          <w:rFonts w:asciiTheme="majorHAnsi" w:hAnsiTheme="majorHAnsi" w:cs="Arial"/>
          <w:sz w:val="24"/>
          <w:szCs w:val="24"/>
        </w:rPr>
        <w:t>Projekcije prihoda od indirektnih poreza usko su vezane za projekcije makroekonomskih pokazatelja, te svako odstupanje od projektiranih vrijednosti predstavlja rizik za projekcije prihoda. Usporavanje ekonomskog oporavka glavnih izvoznih partnera BiH (EU, zemlje CEFTA) povećava nivo rizika za ostvarenje makroekonomskih projekcija, a time i projekcija prihoda od indirektnih poreza u cjelini. Strategija postepenog usklađivanja stopa akcize na cigarete sa minimalnom stopom u EU trebala bi doprinijeti da se zacrtani standardi EU postignu bez većih negativnih makroekonomskih implikacija po opći nivo cijena, funkcioniranje tržišta i poresku evaziju.</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 xml:space="preserve">Ostali porezi planirani </w:t>
      </w:r>
      <w:r w:rsidR="006E0852">
        <w:rPr>
          <w:rFonts w:asciiTheme="majorHAnsi" w:hAnsiTheme="majorHAnsi" w:cs="Arial"/>
          <w:sz w:val="24"/>
          <w:szCs w:val="24"/>
          <w:lang w:val="en-US"/>
        </w:rPr>
        <w:t xml:space="preserve">su u iznosu od 0,3 mil. KM I predstavljaju neznatno povećanje </w:t>
      </w:r>
      <w:r w:rsidRPr="009513BF">
        <w:rPr>
          <w:rFonts w:asciiTheme="majorHAnsi" w:hAnsiTheme="majorHAnsi" w:cs="Arial"/>
          <w:sz w:val="24"/>
          <w:szCs w:val="24"/>
          <w:lang w:val="en-US"/>
        </w:rPr>
        <w:t xml:space="preserve"> u odnosu na Budžet Federacije BiH za 2016. godinu.</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Neporezni prihodi</w:t>
      </w:r>
    </w:p>
    <w:p w:rsidR="009513BF" w:rsidRPr="009513BF" w:rsidRDefault="009513BF" w:rsidP="009513BF">
      <w:pPr>
        <w:tabs>
          <w:tab w:val="left" w:pos="2805"/>
        </w:tabs>
        <w:spacing w:before="12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Neporezni prihod</w:t>
      </w:r>
      <w:r w:rsidR="003E676F">
        <w:rPr>
          <w:rFonts w:asciiTheme="majorHAnsi" w:hAnsiTheme="majorHAnsi" w:cs="Arial"/>
          <w:sz w:val="24"/>
          <w:szCs w:val="24"/>
          <w:lang w:val="en-US"/>
        </w:rPr>
        <w:t>i planirani su u iznosu od 473,5 mil. KM, što je za 27</w:t>
      </w:r>
      <w:r w:rsidR="00834D88">
        <w:rPr>
          <w:rFonts w:asciiTheme="majorHAnsi" w:hAnsiTheme="majorHAnsi" w:cs="Arial"/>
          <w:sz w:val="24"/>
          <w:szCs w:val="24"/>
          <w:lang w:val="en-US"/>
        </w:rPr>
        <w:t>,2</w:t>
      </w:r>
      <w:r w:rsidR="003E676F">
        <w:rPr>
          <w:rFonts w:asciiTheme="majorHAnsi" w:hAnsiTheme="majorHAnsi" w:cs="Arial"/>
          <w:sz w:val="24"/>
          <w:szCs w:val="24"/>
          <w:lang w:val="en-US"/>
        </w:rPr>
        <w:t xml:space="preserve"> mil. KM ili 6</w:t>
      </w:r>
      <w:r w:rsidRPr="009513BF">
        <w:rPr>
          <w:rFonts w:asciiTheme="majorHAnsi" w:hAnsiTheme="majorHAnsi" w:cs="Arial"/>
          <w:sz w:val="24"/>
          <w:szCs w:val="24"/>
          <w:lang w:val="en-US"/>
        </w:rPr>
        <w:t xml:space="preserve">% </w:t>
      </w:r>
      <w:r w:rsidR="00834D88">
        <w:rPr>
          <w:rFonts w:asciiTheme="majorHAnsi" w:hAnsiTheme="majorHAnsi" w:cs="Arial"/>
          <w:sz w:val="24"/>
          <w:szCs w:val="24"/>
          <w:lang w:val="en-US"/>
        </w:rPr>
        <w:t>više</w:t>
      </w:r>
      <w:r w:rsidRPr="009513BF">
        <w:rPr>
          <w:rFonts w:asciiTheme="majorHAnsi" w:hAnsiTheme="majorHAnsi" w:cs="Arial"/>
          <w:sz w:val="24"/>
          <w:szCs w:val="24"/>
          <w:lang w:val="en-US"/>
        </w:rPr>
        <w:t xml:space="preserve"> u odnosu na Budžet Federacije BiH za 2016. godinu.</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Neporezni prihodi obuhvataju prihode od poduzetničkih aktivnosti i imovine i prihode od pozitivnih kursnih razlika, naknade i takse i prihode od pružanja javnih usluga, te novčane kazne.</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Prijedlogom odluke o izmjenama i dopunama Budžeta Federacije BiH za 2016. godinu, prihodi od poduzetničkih aktivnosti i imovine i prihodi od pozitivnih kursnih raz</w:t>
      </w:r>
      <w:r w:rsidR="00834D88">
        <w:rPr>
          <w:rFonts w:asciiTheme="majorHAnsi" w:hAnsiTheme="majorHAnsi" w:cs="Arial"/>
          <w:sz w:val="24"/>
          <w:szCs w:val="24"/>
          <w:lang w:val="en-US"/>
        </w:rPr>
        <w:t>l</w:t>
      </w:r>
      <w:r w:rsidR="003E676F">
        <w:rPr>
          <w:rFonts w:asciiTheme="majorHAnsi" w:hAnsiTheme="majorHAnsi" w:cs="Arial"/>
          <w:sz w:val="24"/>
          <w:szCs w:val="24"/>
          <w:lang w:val="en-US"/>
        </w:rPr>
        <w:t>ika planirani su u iznosu od 361</w:t>
      </w:r>
      <w:r w:rsidR="00834D88">
        <w:rPr>
          <w:rFonts w:asciiTheme="majorHAnsi" w:hAnsiTheme="majorHAnsi" w:cs="Arial"/>
          <w:sz w:val="24"/>
          <w:szCs w:val="24"/>
          <w:lang w:val="en-US"/>
        </w:rPr>
        <w:t>,8</w:t>
      </w:r>
      <w:r w:rsidRPr="009513BF">
        <w:rPr>
          <w:rFonts w:asciiTheme="majorHAnsi" w:hAnsiTheme="majorHAnsi" w:cs="Arial"/>
          <w:sz w:val="24"/>
          <w:szCs w:val="24"/>
          <w:lang w:val="en-US"/>
        </w:rPr>
        <w:t xml:space="preserve"> mil. KM, što predstavlja </w:t>
      </w:r>
      <w:r w:rsidR="003E676F">
        <w:rPr>
          <w:rFonts w:asciiTheme="majorHAnsi" w:hAnsiTheme="majorHAnsi" w:cs="Arial"/>
          <w:sz w:val="24"/>
          <w:szCs w:val="24"/>
          <w:lang w:val="en-US"/>
        </w:rPr>
        <w:t>povećanje od 33</w:t>
      </w:r>
      <w:r w:rsidRPr="009513BF">
        <w:rPr>
          <w:rFonts w:asciiTheme="majorHAnsi" w:hAnsiTheme="majorHAnsi" w:cs="Arial"/>
          <w:sz w:val="24"/>
          <w:szCs w:val="24"/>
          <w:lang w:val="en-US"/>
        </w:rPr>
        <w:t>,1 mil. KM u odnosu na 2016. godinu, a obuhvataju sljedeće prihode:</w:t>
      </w:r>
    </w:p>
    <w:p w:rsidR="009513BF" w:rsidRPr="009513BF" w:rsidRDefault="009513BF" w:rsidP="009513BF">
      <w:pPr>
        <w:pStyle w:val="ListParagraph"/>
        <w:numPr>
          <w:ilvl w:val="0"/>
          <w:numId w:val="12"/>
        </w:num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Prihodi od nefinansijskih javnih preduzeća i finansijskih</w:t>
      </w:r>
      <w:r w:rsidR="00834D88">
        <w:rPr>
          <w:rFonts w:asciiTheme="majorHAnsi" w:hAnsiTheme="majorHAnsi" w:cs="Arial"/>
          <w:sz w:val="24"/>
          <w:szCs w:val="24"/>
          <w:lang w:val="en-US"/>
        </w:rPr>
        <w:t xml:space="preserve"> javnih institu</w:t>
      </w:r>
      <w:r w:rsidR="003E676F">
        <w:rPr>
          <w:rFonts w:asciiTheme="majorHAnsi" w:hAnsiTheme="majorHAnsi" w:cs="Arial"/>
          <w:sz w:val="24"/>
          <w:szCs w:val="24"/>
          <w:lang w:val="en-US"/>
        </w:rPr>
        <w:t>cija iznose 290</w:t>
      </w:r>
      <w:r w:rsidR="00834D88">
        <w:rPr>
          <w:rFonts w:asciiTheme="majorHAnsi" w:hAnsiTheme="majorHAnsi" w:cs="Arial"/>
          <w:sz w:val="24"/>
          <w:szCs w:val="24"/>
          <w:lang w:val="en-US"/>
        </w:rPr>
        <w:t>,8</w:t>
      </w:r>
      <w:r w:rsidRPr="009513BF">
        <w:rPr>
          <w:rFonts w:asciiTheme="majorHAnsi" w:hAnsiTheme="majorHAnsi" w:cs="Arial"/>
          <w:sz w:val="24"/>
          <w:szCs w:val="24"/>
          <w:lang w:val="en-US"/>
        </w:rPr>
        <w:t xml:space="preserve"> mil. KM i </w:t>
      </w:r>
      <w:r w:rsidR="003E676F">
        <w:rPr>
          <w:rFonts w:asciiTheme="majorHAnsi" w:hAnsiTheme="majorHAnsi" w:cs="Arial"/>
          <w:sz w:val="24"/>
          <w:szCs w:val="24"/>
          <w:lang w:val="en-US"/>
        </w:rPr>
        <w:t>veći su za 32</w:t>
      </w:r>
      <w:r w:rsidR="00834D88">
        <w:rPr>
          <w:rFonts w:asciiTheme="majorHAnsi" w:hAnsiTheme="majorHAnsi" w:cs="Arial"/>
          <w:sz w:val="24"/>
          <w:szCs w:val="24"/>
          <w:lang w:val="en-US"/>
        </w:rPr>
        <w:t>,9</w:t>
      </w:r>
      <w:r w:rsidRPr="009513BF">
        <w:rPr>
          <w:rFonts w:asciiTheme="majorHAnsi" w:hAnsiTheme="majorHAnsi" w:cs="Arial"/>
          <w:sz w:val="24"/>
          <w:szCs w:val="24"/>
          <w:lang w:val="en-US"/>
        </w:rPr>
        <w:t xml:space="preserve"> mil. KM u odnosu na prethodni Budžet.</w:t>
      </w:r>
    </w:p>
    <w:p w:rsidR="009513BF" w:rsidRPr="009513BF" w:rsidRDefault="009513BF" w:rsidP="009513BF">
      <w:pPr>
        <w:pStyle w:val="ListParagraph"/>
        <w:numPr>
          <w:ilvl w:val="0"/>
          <w:numId w:val="12"/>
        </w:num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Ostali prihodi od imovine iznose 5,5 mil. KM.</w:t>
      </w:r>
    </w:p>
    <w:p w:rsidR="009513BF" w:rsidRPr="009513BF" w:rsidRDefault="009513BF" w:rsidP="009513BF">
      <w:pPr>
        <w:pStyle w:val="ListParagraph"/>
        <w:numPr>
          <w:ilvl w:val="0"/>
          <w:numId w:val="12"/>
        </w:num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Prihodi od privatizacije su ostali na nivou Budžeta Federacije BiH za 2016. godinu.</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 xml:space="preserve">Naknade i takse i prihodi od pružanja javnih usluga planirane su u iznosu od </w:t>
      </w:r>
      <w:r w:rsidR="00834D88">
        <w:rPr>
          <w:rFonts w:asciiTheme="majorHAnsi" w:hAnsiTheme="majorHAnsi" w:cs="Arial"/>
          <w:sz w:val="24"/>
          <w:szCs w:val="24"/>
          <w:lang w:val="en-US"/>
        </w:rPr>
        <w:t>96,4</w:t>
      </w:r>
      <w:r w:rsidRPr="009513BF">
        <w:rPr>
          <w:rFonts w:asciiTheme="majorHAnsi" w:hAnsiTheme="majorHAnsi" w:cs="Arial"/>
          <w:sz w:val="24"/>
          <w:szCs w:val="24"/>
          <w:lang w:val="en-US"/>
        </w:rPr>
        <w:t xml:space="preserve"> mil. KM, i u odnosu na Budžet Federacije B</w:t>
      </w:r>
      <w:r w:rsidR="00834D88">
        <w:rPr>
          <w:rFonts w:asciiTheme="majorHAnsi" w:hAnsiTheme="majorHAnsi" w:cs="Arial"/>
          <w:sz w:val="24"/>
          <w:szCs w:val="24"/>
          <w:lang w:val="en-US"/>
        </w:rPr>
        <w:t>iH za 2016. godinu manji su za 7,5</w:t>
      </w:r>
      <w:r w:rsidRPr="009513BF">
        <w:rPr>
          <w:rFonts w:asciiTheme="majorHAnsi" w:hAnsiTheme="majorHAnsi" w:cs="Arial"/>
          <w:sz w:val="24"/>
          <w:szCs w:val="24"/>
          <w:lang w:val="en-US"/>
        </w:rPr>
        <w:t xml:space="preserve"> mil. KM.</w:t>
      </w:r>
    </w:p>
    <w:p w:rsidR="001D6EC3" w:rsidRDefault="009513BF" w:rsidP="001D6EC3">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U Prijedlogu odluke o izmjenama i dopunama Budžeta Federacije BiH za 2016. godinu novčane kazne planirane su u iznosu od 15,3 mil. KM što je za 1,6 mil. KM više u odnosu na Budžet Federacije BiH za 2016. godinu.</w:t>
      </w:r>
    </w:p>
    <w:p w:rsidR="009513BF" w:rsidRPr="009513BF" w:rsidRDefault="009513BF" w:rsidP="001D6EC3">
      <w:pPr>
        <w:tabs>
          <w:tab w:val="left" w:pos="2805"/>
        </w:tabs>
        <w:spacing w:before="240" w:after="240" w:line="240" w:lineRule="auto"/>
        <w:jc w:val="both"/>
        <w:rPr>
          <w:rFonts w:asciiTheme="majorHAnsi" w:hAnsiTheme="majorHAnsi" w:cs="Arial"/>
          <w:b/>
          <w:sz w:val="24"/>
          <w:szCs w:val="24"/>
        </w:rPr>
      </w:pPr>
      <w:r w:rsidRPr="009513BF">
        <w:rPr>
          <w:rFonts w:asciiTheme="majorHAnsi" w:hAnsiTheme="majorHAnsi" w:cs="Arial"/>
          <w:b/>
          <w:sz w:val="24"/>
          <w:szCs w:val="24"/>
        </w:rPr>
        <w:lastRenderedPageBreak/>
        <w:t>Tekući transferi (transferi i donacije)</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Tekući transferi koji obuhvataju primljene tekuće transfere od ostalih nivoa vlasti su planirani u iznosu od 0,04 mil. KM.</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Primici</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U okviru primitaka planirano je sljedeće:</w:t>
      </w:r>
    </w:p>
    <w:p w:rsidR="009513BF" w:rsidRPr="009513BF" w:rsidRDefault="009513BF" w:rsidP="009513BF">
      <w:pPr>
        <w:pStyle w:val="ListParagraph"/>
        <w:numPr>
          <w:ilvl w:val="0"/>
          <w:numId w:val="3"/>
        </w:num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Kapitalni primici od prodaje stalnih sredstava u iznosu od 0,04 mil. KM;</w:t>
      </w:r>
    </w:p>
    <w:p w:rsidR="009513BF" w:rsidRPr="009513BF" w:rsidRDefault="009513BF" w:rsidP="009513BF">
      <w:pPr>
        <w:pStyle w:val="ListParagraph"/>
        <w:numPr>
          <w:ilvl w:val="0"/>
          <w:numId w:val="3"/>
        </w:num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Dugoročni zajmovi primljeni kroz Državu u iznosu od 102,6 mil. KM;</w:t>
      </w:r>
    </w:p>
    <w:p w:rsidR="009513BF" w:rsidRPr="009513BF" w:rsidRDefault="009513BF" w:rsidP="009513BF">
      <w:pPr>
        <w:pStyle w:val="ListParagraph"/>
        <w:numPr>
          <w:ilvl w:val="0"/>
          <w:numId w:val="3"/>
        </w:num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Dugoročni primici od domaćeg zaduživanja u iznosu od 140,0 mil. KM i</w:t>
      </w:r>
    </w:p>
    <w:p w:rsidR="009513BF" w:rsidRPr="009513BF" w:rsidRDefault="009513BF" w:rsidP="009513BF">
      <w:pPr>
        <w:pStyle w:val="ListParagraph"/>
        <w:numPr>
          <w:ilvl w:val="0"/>
          <w:numId w:val="3"/>
        </w:num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 xml:space="preserve">Kratkoročni primici od domaćeg </w:t>
      </w:r>
      <w:r w:rsidR="00834D88">
        <w:rPr>
          <w:rFonts w:asciiTheme="majorHAnsi" w:hAnsiTheme="majorHAnsi" w:cs="Arial"/>
          <w:sz w:val="24"/>
          <w:szCs w:val="24"/>
          <w:lang w:val="en-US"/>
        </w:rPr>
        <w:t>zaduživanja u iznosu od 35</w:t>
      </w:r>
      <w:r w:rsidR="006E0852">
        <w:rPr>
          <w:rFonts w:asciiTheme="majorHAnsi" w:hAnsiTheme="majorHAnsi" w:cs="Arial"/>
          <w:sz w:val="24"/>
          <w:szCs w:val="24"/>
          <w:lang w:val="en-US"/>
        </w:rPr>
        <w:t xml:space="preserve">0,0 mil. KM, što je manje za 10,00 mil. KM u odnosu na </w:t>
      </w:r>
      <w:r w:rsidR="003E676F">
        <w:rPr>
          <w:rFonts w:asciiTheme="majorHAnsi" w:hAnsiTheme="majorHAnsi" w:cs="Arial"/>
          <w:sz w:val="24"/>
          <w:szCs w:val="24"/>
          <w:lang w:val="en-US"/>
        </w:rPr>
        <w:t>planirani Budžet FBiH za 2016. g</w:t>
      </w:r>
      <w:r w:rsidR="006E0852">
        <w:rPr>
          <w:rFonts w:asciiTheme="majorHAnsi" w:hAnsiTheme="majorHAnsi" w:cs="Arial"/>
          <w:sz w:val="24"/>
          <w:szCs w:val="24"/>
          <w:lang w:val="en-US"/>
        </w:rPr>
        <w:t>odinu.</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 xml:space="preserve">Na </w:t>
      </w:r>
      <w:r w:rsidR="003E676F">
        <w:rPr>
          <w:rFonts w:asciiTheme="majorHAnsi" w:hAnsiTheme="majorHAnsi" w:cs="Arial"/>
          <w:sz w:val="24"/>
          <w:szCs w:val="24"/>
          <w:lang w:val="en-US"/>
        </w:rPr>
        <w:t>sljedećem</w:t>
      </w:r>
      <w:r w:rsidRPr="009513BF">
        <w:rPr>
          <w:rFonts w:asciiTheme="majorHAnsi" w:hAnsiTheme="majorHAnsi" w:cs="Arial"/>
          <w:sz w:val="24"/>
          <w:szCs w:val="24"/>
          <w:lang w:val="en-US"/>
        </w:rPr>
        <w:t xml:space="preserve"> grafikonu prikazano je učešće pojedinih prihoda i primitaka u Izmjenama i dopunama Budžeta Federacije BiH za 2016. godinu:</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p>
    <w:p w:rsidR="009513BF" w:rsidRDefault="003E676F" w:rsidP="003E676F">
      <w:pPr>
        <w:tabs>
          <w:tab w:val="left" w:pos="2805"/>
        </w:tabs>
        <w:spacing w:before="240" w:after="240" w:line="240" w:lineRule="auto"/>
        <w:jc w:val="center"/>
        <w:rPr>
          <w:rFonts w:ascii="Arial" w:hAnsi="Arial" w:cs="Arial"/>
          <w:sz w:val="24"/>
          <w:szCs w:val="24"/>
          <w:lang w:val="en-US"/>
        </w:rPr>
      </w:pPr>
      <w:r>
        <w:rPr>
          <w:lang w:eastAsia="bs-Latn-BA"/>
        </w:rPr>
        <w:drawing>
          <wp:inline distT="0" distB="0" distL="0" distR="0" wp14:anchorId="6B566F13" wp14:editId="2CF671BD">
            <wp:extent cx="5400676" cy="4038600"/>
            <wp:effectExtent l="0" t="0" r="0" b="0"/>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513BF" w:rsidRPr="00324DF7" w:rsidRDefault="009513BF" w:rsidP="009513BF">
      <w:pPr>
        <w:tabs>
          <w:tab w:val="left" w:pos="2805"/>
        </w:tabs>
        <w:spacing w:before="240" w:after="240" w:line="240" w:lineRule="auto"/>
        <w:jc w:val="center"/>
        <w:rPr>
          <w:rFonts w:ascii="Arial" w:hAnsi="Arial" w:cs="Arial"/>
          <w:sz w:val="24"/>
          <w:szCs w:val="24"/>
          <w:lang w:val="en-US"/>
        </w:rPr>
      </w:pPr>
    </w:p>
    <w:tbl>
      <w:tblPr>
        <w:tblpPr w:leftFromText="180" w:rightFromText="180" w:vertAnchor="text" w:horzAnchor="margin" w:tblpY="-306"/>
        <w:tblW w:w="5186" w:type="pct"/>
        <w:tblCellMar>
          <w:left w:w="360" w:type="dxa"/>
          <w:right w:w="360" w:type="dxa"/>
        </w:tblCellMar>
        <w:tblLook w:val="04A0" w:firstRow="1" w:lastRow="0" w:firstColumn="1" w:lastColumn="0" w:noHBand="0" w:noVBand="1"/>
      </w:tblPr>
      <w:tblGrid>
        <w:gridCol w:w="1134"/>
        <w:gridCol w:w="8574"/>
      </w:tblGrid>
      <w:tr w:rsidR="009513BF" w:rsidTr="00C26CF4">
        <w:trPr>
          <w:trHeight w:val="757"/>
        </w:trPr>
        <w:tc>
          <w:tcPr>
            <w:tcW w:w="584" w:type="pct"/>
            <w:shd w:val="clear" w:color="auto" w:fill="4F6228" w:themeFill="accent3" w:themeFillShade="80"/>
            <w:vAlign w:val="center"/>
          </w:tcPr>
          <w:p w:rsidR="009513BF" w:rsidRPr="009513BF" w:rsidRDefault="009539DA" w:rsidP="00C26CF4">
            <w:pPr>
              <w:pStyle w:val="NoSpacing"/>
              <w:jc w:val="center"/>
              <w:rPr>
                <w:rFonts w:asciiTheme="majorHAnsi" w:hAnsiTheme="majorHAnsi"/>
                <w:b/>
                <w:smallCaps/>
                <w:color w:val="FFFFFF" w:themeColor="background1"/>
                <w:sz w:val="24"/>
                <w:szCs w:val="24"/>
              </w:rPr>
            </w:pPr>
            <w:r>
              <w:rPr>
                <w:rFonts w:asciiTheme="majorHAnsi" w:hAnsiTheme="majorHAnsi"/>
                <w:b/>
                <w:smallCaps/>
                <w:color w:val="FFFFFF" w:themeColor="background1"/>
                <w:sz w:val="32"/>
                <w:szCs w:val="24"/>
              </w:rPr>
              <w:lastRenderedPageBreak/>
              <w:t>5</w:t>
            </w:r>
            <w:r w:rsidR="009513BF" w:rsidRPr="009513BF">
              <w:rPr>
                <w:rFonts w:asciiTheme="majorHAnsi" w:hAnsiTheme="majorHAnsi"/>
                <w:b/>
                <w:smallCaps/>
                <w:color w:val="FFFFFF" w:themeColor="background1"/>
                <w:sz w:val="32"/>
                <w:szCs w:val="24"/>
              </w:rPr>
              <w:t>.</w:t>
            </w:r>
          </w:p>
        </w:tc>
        <w:tc>
          <w:tcPr>
            <w:tcW w:w="4416" w:type="pct"/>
            <w:shd w:val="clear" w:color="auto" w:fill="C2D69B" w:themeFill="accent3" w:themeFillTint="99"/>
            <w:vAlign w:val="center"/>
          </w:tcPr>
          <w:p w:rsidR="009513BF" w:rsidRPr="009513BF" w:rsidRDefault="009513BF" w:rsidP="00C26CF4">
            <w:pPr>
              <w:pStyle w:val="NoSpacing"/>
              <w:rPr>
                <w:rFonts w:asciiTheme="majorHAnsi" w:hAnsiTheme="majorHAnsi"/>
                <w:b/>
                <w:smallCaps/>
                <w:color w:val="FFFFFF" w:themeColor="background1"/>
                <w:sz w:val="28"/>
                <w:szCs w:val="28"/>
                <w:lang w:val="de-DE"/>
              </w:rPr>
            </w:pPr>
            <w:r w:rsidRPr="009513BF">
              <w:rPr>
                <w:rFonts w:asciiTheme="majorHAnsi" w:hAnsiTheme="majorHAnsi"/>
                <w:b/>
                <w:smallCaps/>
                <w:sz w:val="32"/>
                <w:szCs w:val="28"/>
                <w:lang w:val="de-DE"/>
              </w:rPr>
              <w:t>RASHODI I IZDACI</w:t>
            </w:r>
          </w:p>
        </w:tc>
      </w:tr>
    </w:tbl>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lastRenderedPageBreak/>
        <w:t xml:space="preserve">Ukupni rashodi i izdaci u Prijedlogu odluke o izmjenama i dopunama Budžeta Federacije BiH za 2016. godinu iznose </w:t>
      </w:r>
      <w:r w:rsidR="00B14331">
        <w:rPr>
          <w:rFonts w:asciiTheme="majorHAnsi" w:hAnsiTheme="majorHAnsi" w:cs="Arial"/>
          <w:sz w:val="24"/>
          <w:szCs w:val="24"/>
        </w:rPr>
        <w:t>2.517</w:t>
      </w:r>
      <w:r w:rsidR="00834D88">
        <w:rPr>
          <w:rFonts w:asciiTheme="majorHAnsi" w:hAnsiTheme="majorHAnsi" w:cs="Arial"/>
          <w:sz w:val="24"/>
          <w:szCs w:val="24"/>
        </w:rPr>
        <w:t>.180.917</w:t>
      </w:r>
      <w:r w:rsidRPr="009513BF">
        <w:rPr>
          <w:rFonts w:asciiTheme="majorHAnsi" w:hAnsiTheme="majorHAnsi" w:cs="Arial"/>
          <w:sz w:val="24"/>
          <w:szCs w:val="24"/>
        </w:rPr>
        <w:t>,00</w:t>
      </w:r>
      <w:r w:rsidRPr="009513BF">
        <w:rPr>
          <w:rFonts w:asciiTheme="majorHAnsi" w:hAnsiTheme="majorHAnsi" w:cs="Arial"/>
          <w:sz w:val="24"/>
          <w:szCs w:val="24"/>
          <w:lang w:val="en-US"/>
        </w:rPr>
        <w:t xml:space="preserve"> KM,</w:t>
      </w:r>
      <w:r w:rsidR="00834D88">
        <w:rPr>
          <w:rFonts w:asciiTheme="majorHAnsi" w:hAnsiTheme="majorHAnsi" w:cs="Arial"/>
          <w:sz w:val="24"/>
          <w:szCs w:val="24"/>
          <w:lang w:val="en-US"/>
        </w:rPr>
        <w:t xml:space="preserve"> što predstavlja smanjenje od 85,7</w:t>
      </w:r>
      <w:r w:rsidRPr="009513BF">
        <w:rPr>
          <w:rFonts w:asciiTheme="majorHAnsi" w:hAnsiTheme="majorHAnsi" w:cs="Arial"/>
          <w:sz w:val="24"/>
          <w:szCs w:val="24"/>
          <w:lang w:val="en-US"/>
        </w:rPr>
        <w:t xml:space="preserve"> mil. KM ili 3,0% u odnosu na Budžet Federacije BiH za 2016. godinu.</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Kao prethodnih godina, i tokom 2016. godine fiskalna politika Vlade Federacije BiH bit će orijentisana na aktivnosti koje će doprinijeti ekonomskom i socijalnom jačanju Federacije BiH. U tom kontekstu se nastavlja ograničavanje budžetske potrošnje u 2016. godini kroz oštre mjere štednje u svim segmentima javne potrošnje:</w:t>
      </w:r>
    </w:p>
    <w:p w:rsidR="009513BF" w:rsidRPr="009513BF" w:rsidRDefault="009513BF" w:rsidP="009513BF">
      <w:pPr>
        <w:pStyle w:val="ListParagraph"/>
        <w:numPr>
          <w:ilvl w:val="0"/>
          <w:numId w:val="13"/>
        </w:num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Ograničavanje javne potrošnje na izdatke za materijal i usluge nastavlja se i u 2016. godini;</w:t>
      </w:r>
    </w:p>
    <w:p w:rsidR="009513BF" w:rsidRPr="009513BF" w:rsidRDefault="009513BF" w:rsidP="009513BF">
      <w:pPr>
        <w:pStyle w:val="ListParagraph"/>
        <w:numPr>
          <w:ilvl w:val="0"/>
          <w:numId w:val="13"/>
        </w:num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Planirana javna potrošnja za nabavku opreme svedena je na minimalan nivo, odnosno nabavka nove opreme planirana je u iznosu koji bi mogao biti dovoljan u slučaju nepredviđenih okolnosti, odnosno iznenadnog kvara i sl.;</w:t>
      </w:r>
    </w:p>
    <w:p w:rsidR="009513BF" w:rsidRPr="009513BF" w:rsidRDefault="009513BF" w:rsidP="009513BF">
      <w:pPr>
        <w:pStyle w:val="ListParagraph"/>
        <w:numPr>
          <w:ilvl w:val="0"/>
          <w:numId w:val="13"/>
        </w:num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Održavanje ciljanog budžetskog deficita u iznosu od 2,5% GDP-a u 2016. godini.</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U narednoj tabeli prikazana je struktura rashoda i izdataka u Prijedlogu odluke o izmjenama i dopunama Budžeta Federacije BiH za 2016. godinu, te njihova promjena u odnosu na Budžet Federacije BiH za 2016. godinu:</w:t>
      </w:r>
    </w:p>
    <w:p w:rsidR="009513BF" w:rsidRPr="009513BF" w:rsidRDefault="00B14331" w:rsidP="009513BF">
      <w:pPr>
        <w:tabs>
          <w:tab w:val="left" w:pos="2805"/>
        </w:tabs>
        <w:spacing w:before="240" w:after="240" w:line="240" w:lineRule="auto"/>
        <w:jc w:val="center"/>
        <w:rPr>
          <w:rFonts w:asciiTheme="majorHAnsi" w:hAnsiTheme="majorHAnsi" w:cs="Arial"/>
          <w:sz w:val="24"/>
          <w:szCs w:val="24"/>
          <w:lang w:val="en-US"/>
        </w:rPr>
      </w:pPr>
      <w:r w:rsidRPr="00B14331">
        <w:rPr>
          <w:lang w:eastAsia="bs-Latn-BA"/>
        </w:rPr>
        <w:drawing>
          <wp:inline distT="0" distB="0" distL="0" distR="0">
            <wp:extent cx="5534025" cy="30861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34025" cy="3086100"/>
                    </a:xfrm>
                    <a:prstGeom prst="rect">
                      <a:avLst/>
                    </a:prstGeom>
                    <a:noFill/>
                    <a:ln>
                      <a:noFill/>
                    </a:ln>
                  </pic:spPr>
                </pic:pic>
              </a:graphicData>
            </a:graphic>
          </wp:inline>
        </w:drawing>
      </w:r>
    </w:p>
    <w:p w:rsidR="009513BF" w:rsidRDefault="009513BF" w:rsidP="009513BF">
      <w:pPr>
        <w:tabs>
          <w:tab w:val="left" w:pos="2805"/>
        </w:tabs>
        <w:spacing w:before="240" w:after="240" w:line="240" w:lineRule="auto"/>
        <w:jc w:val="center"/>
        <w:rPr>
          <w:rFonts w:asciiTheme="majorHAnsi" w:hAnsiTheme="majorHAnsi" w:cs="Arial"/>
          <w:sz w:val="24"/>
          <w:szCs w:val="24"/>
          <w:lang w:val="en-US"/>
        </w:rPr>
      </w:pPr>
    </w:p>
    <w:p w:rsidR="00B14331" w:rsidRDefault="00B14331" w:rsidP="009513BF">
      <w:pPr>
        <w:tabs>
          <w:tab w:val="left" w:pos="2805"/>
        </w:tabs>
        <w:spacing w:before="240" w:after="240" w:line="240" w:lineRule="auto"/>
        <w:jc w:val="center"/>
        <w:rPr>
          <w:rFonts w:asciiTheme="majorHAnsi" w:hAnsiTheme="majorHAnsi" w:cs="Arial"/>
          <w:sz w:val="24"/>
          <w:szCs w:val="24"/>
          <w:lang w:val="en-US"/>
        </w:rPr>
      </w:pPr>
    </w:p>
    <w:p w:rsidR="00B14331" w:rsidRPr="009513BF" w:rsidRDefault="00B14331" w:rsidP="009513BF">
      <w:pPr>
        <w:tabs>
          <w:tab w:val="left" w:pos="2805"/>
        </w:tabs>
        <w:spacing w:before="240" w:after="240" w:line="240" w:lineRule="auto"/>
        <w:jc w:val="center"/>
        <w:rPr>
          <w:rFonts w:asciiTheme="majorHAnsi" w:hAnsiTheme="majorHAnsi" w:cs="Arial"/>
          <w:sz w:val="24"/>
          <w:szCs w:val="24"/>
          <w:lang w:val="en-US"/>
        </w:rPr>
      </w:pP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lastRenderedPageBreak/>
        <w:t>Na sljedećem grafikonu prikazan je uporedni prikaz promjene pojedinih rashoda i izdataka u Budžetu Federacije BiH za 2016. godinu:</w:t>
      </w:r>
    </w:p>
    <w:p w:rsidR="005E7F90" w:rsidRDefault="00B14331" w:rsidP="00A03F7B">
      <w:pPr>
        <w:tabs>
          <w:tab w:val="left" w:pos="2805"/>
        </w:tabs>
        <w:spacing w:before="240" w:after="240" w:line="240" w:lineRule="auto"/>
        <w:jc w:val="center"/>
        <w:rPr>
          <w:rFonts w:asciiTheme="majorHAnsi" w:hAnsiTheme="majorHAnsi" w:cs="Arial"/>
          <w:sz w:val="24"/>
          <w:szCs w:val="24"/>
          <w:lang w:val="en-US"/>
        </w:rPr>
      </w:pPr>
      <w:r>
        <w:rPr>
          <w:lang w:eastAsia="bs-Latn-BA"/>
        </w:rPr>
        <w:drawing>
          <wp:inline distT="0" distB="0" distL="0" distR="0" wp14:anchorId="5A01A592" wp14:editId="1AA092A1">
            <wp:extent cx="5410200" cy="2257425"/>
            <wp:effectExtent l="0" t="0" r="0" b="0"/>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14331" w:rsidRPr="009513BF" w:rsidRDefault="00B14331" w:rsidP="00A03F7B">
      <w:pPr>
        <w:tabs>
          <w:tab w:val="left" w:pos="2805"/>
        </w:tabs>
        <w:spacing w:before="240" w:after="240" w:line="240" w:lineRule="auto"/>
        <w:jc w:val="center"/>
        <w:rPr>
          <w:rFonts w:asciiTheme="majorHAnsi" w:hAnsiTheme="majorHAnsi" w:cs="Arial"/>
          <w:sz w:val="24"/>
          <w:szCs w:val="24"/>
          <w:lang w:val="en-US"/>
        </w:rPr>
      </w:pPr>
    </w:p>
    <w:p w:rsidR="009513BF" w:rsidRPr="009513BF" w:rsidRDefault="009539DA" w:rsidP="009513BF">
      <w:pPr>
        <w:spacing w:before="240" w:after="240" w:line="240" w:lineRule="auto"/>
        <w:jc w:val="both"/>
        <w:rPr>
          <w:rFonts w:asciiTheme="majorHAnsi" w:hAnsiTheme="majorHAnsi" w:cs="Arial"/>
          <w:b/>
          <w:sz w:val="24"/>
          <w:szCs w:val="24"/>
        </w:rPr>
      </w:pPr>
      <w:r>
        <w:rPr>
          <w:rFonts w:asciiTheme="majorHAnsi" w:hAnsiTheme="majorHAnsi" w:cs="Arial"/>
          <w:b/>
          <w:sz w:val="24"/>
          <w:szCs w:val="24"/>
        </w:rPr>
        <w:t>5</w:t>
      </w:r>
      <w:r w:rsidR="009513BF" w:rsidRPr="009513BF">
        <w:rPr>
          <w:rFonts w:asciiTheme="majorHAnsi" w:hAnsiTheme="majorHAnsi" w:cs="Arial"/>
          <w:b/>
          <w:sz w:val="24"/>
          <w:szCs w:val="24"/>
        </w:rPr>
        <w:t>.1. STRUKTURA RASHODA I IZDATAKA</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Tekuća rezerva</w:t>
      </w:r>
    </w:p>
    <w:p w:rsidR="009513BF" w:rsidRPr="009513BF" w:rsidRDefault="009513BF" w:rsidP="009513BF">
      <w:pPr>
        <w:tabs>
          <w:tab w:val="left" w:pos="2805"/>
        </w:tabs>
        <w:spacing w:before="12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Tekuća rezerva u Prijedlogu odluke o izmjenama i dopunama Budžeta Federacije BiH za 2016. godinu iznosi 5.155.000,00 KM, i to:</w:t>
      </w:r>
    </w:p>
    <w:p w:rsidR="009513BF" w:rsidRPr="009513BF" w:rsidRDefault="009513BF" w:rsidP="009513BF">
      <w:pPr>
        <w:pStyle w:val="ListParagraph"/>
        <w:numPr>
          <w:ilvl w:val="0"/>
          <w:numId w:val="14"/>
        </w:num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Tekuća rezerva Vlade FBiH u iznosu od 5.000.000,00 KM;</w:t>
      </w:r>
    </w:p>
    <w:p w:rsidR="009513BF" w:rsidRPr="009513BF" w:rsidRDefault="009513BF" w:rsidP="009513BF">
      <w:pPr>
        <w:pStyle w:val="ListParagraph"/>
        <w:numPr>
          <w:ilvl w:val="0"/>
          <w:numId w:val="14"/>
        </w:num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Tekuća rezerva Premijera u iznosu od 75.000,00 KM;</w:t>
      </w:r>
    </w:p>
    <w:p w:rsidR="009513BF" w:rsidRPr="009513BF" w:rsidRDefault="009513BF" w:rsidP="009513BF">
      <w:pPr>
        <w:pStyle w:val="ListParagraph"/>
        <w:numPr>
          <w:ilvl w:val="0"/>
          <w:numId w:val="14"/>
        </w:num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Tekuća rezerva Dopremijera 1 u iznosu od 40.000,00 KM;</w:t>
      </w:r>
    </w:p>
    <w:p w:rsidR="009513BF" w:rsidRPr="009513BF" w:rsidRDefault="009513BF" w:rsidP="009513BF">
      <w:pPr>
        <w:pStyle w:val="ListParagraph"/>
        <w:numPr>
          <w:ilvl w:val="0"/>
          <w:numId w:val="14"/>
        </w:num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Tekuća rezerva Dopremijera 2 u iznosu od 40.000,00 KM.</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Plaće, doprinosi i naknade troškova zaposlenih</w:t>
      </w:r>
    </w:p>
    <w:p w:rsidR="009513BF" w:rsidRPr="009513BF" w:rsidRDefault="009513BF" w:rsidP="009513BF">
      <w:pPr>
        <w:tabs>
          <w:tab w:val="left" w:pos="2805"/>
        </w:tabs>
        <w:spacing w:before="12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 xml:space="preserve">U Prijedlogu odluke o izmjenama i dopunama Budžeta Federacije BiH za 2016. godinu plaće, doprinosi i naknade troškova zaposlenih planirane su u ukupnom iznosu od 230,5 mil. KM, što je smanjenje za </w:t>
      </w:r>
      <w:r w:rsidR="00B14331">
        <w:rPr>
          <w:rFonts w:asciiTheme="majorHAnsi" w:hAnsiTheme="majorHAnsi" w:cs="Arial"/>
          <w:sz w:val="24"/>
          <w:szCs w:val="24"/>
          <w:lang w:val="en-US"/>
        </w:rPr>
        <w:t>10,3</w:t>
      </w:r>
      <w:r w:rsidRPr="009513BF">
        <w:rPr>
          <w:rFonts w:asciiTheme="majorHAnsi" w:hAnsiTheme="majorHAnsi" w:cs="Arial"/>
          <w:sz w:val="24"/>
          <w:szCs w:val="24"/>
          <w:lang w:val="en-US"/>
        </w:rPr>
        <w:t xml:space="preserve"> mil. KM ili 4% u odnosu na na Budžet Federacije BiH za 2016. godinu</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Izdaci za materijal, sitni inventar i usluge</w:t>
      </w:r>
    </w:p>
    <w:p w:rsidR="00B24F73" w:rsidRDefault="009513BF" w:rsidP="00B24F73">
      <w:pPr>
        <w:tabs>
          <w:tab w:val="left" w:pos="2805"/>
        </w:tabs>
        <w:spacing w:before="120" w:after="240" w:line="240" w:lineRule="auto"/>
        <w:jc w:val="both"/>
        <w:rPr>
          <w:rFonts w:asciiTheme="majorHAnsi" w:hAnsiTheme="majorHAnsi" w:cs="Arial"/>
          <w:b/>
          <w:sz w:val="24"/>
          <w:szCs w:val="24"/>
        </w:rPr>
      </w:pPr>
      <w:r w:rsidRPr="009513BF">
        <w:rPr>
          <w:rFonts w:asciiTheme="majorHAnsi" w:hAnsiTheme="majorHAnsi" w:cs="Arial"/>
          <w:sz w:val="24"/>
          <w:szCs w:val="24"/>
          <w:lang w:val="en-US"/>
        </w:rPr>
        <w:t>Izdaci za materijal, sitni inventar i usluge u Prijedlogu odluke o izmjenama i dopunama Budžeta Federacije</w:t>
      </w:r>
      <w:r w:rsidR="00B14331">
        <w:rPr>
          <w:rFonts w:asciiTheme="majorHAnsi" w:hAnsiTheme="majorHAnsi" w:cs="Arial"/>
          <w:sz w:val="24"/>
          <w:szCs w:val="24"/>
          <w:lang w:val="en-US"/>
        </w:rPr>
        <w:t xml:space="preserve"> BiH za 2016. godinu iznose 92,4</w:t>
      </w:r>
      <w:r w:rsidRPr="009513BF">
        <w:rPr>
          <w:rFonts w:asciiTheme="majorHAnsi" w:hAnsiTheme="majorHAnsi" w:cs="Arial"/>
          <w:sz w:val="24"/>
          <w:szCs w:val="24"/>
          <w:lang w:val="en-US"/>
        </w:rPr>
        <w:t xml:space="preserve"> mil. KM, što je za 0,6 mil. KM više u odnosu na Budžet Federacije BiH za 2016. godinu.</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Tekući transferi i drugi tekući rashodi</w:t>
      </w:r>
    </w:p>
    <w:p w:rsidR="009513BF" w:rsidRPr="009513BF" w:rsidRDefault="009513BF" w:rsidP="009513BF">
      <w:pPr>
        <w:tabs>
          <w:tab w:val="left" w:pos="2805"/>
        </w:tabs>
        <w:spacing w:before="12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Tekući transferi i drugi tekući rashodi u Prijedlogu odluke o izmjenama i dopunama Budžeta Federacije BiH</w:t>
      </w:r>
      <w:r w:rsidR="00B14331">
        <w:rPr>
          <w:rFonts w:asciiTheme="majorHAnsi" w:hAnsiTheme="majorHAnsi" w:cs="Arial"/>
          <w:sz w:val="24"/>
          <w:szCs w:val="24"/>
          <w:lang w:val="en-US"/>
        </w:rPr>
        <w:t xml:space="preserve"> za 2016. godinu iznose  1.077</w:t>
      </w:r>
      <w:r w:rsidR="00A75ADB">
        <w:rPr>
          <w:rFonts w:asciiTheme="majorHAnsi" w:hAnsiTheme="majorHAnsi" w:cs="Arial"/>
          <w:sz w:val="24"/>
          <w:szCs w:val="24"/>
          <w:lang w:val="en-US"/>
        </w:rPr>
        <w:t>,5</w:t>
      </w:r>
      <w:r w:rsidRPr="009513BF">
        <w:rPr>
          <w:rFonts w:asciiTheme="majorHAnsi" w:hAnsiTheme="majorHAnsi" w:cs="Arial"/>
          <w:sz w:val="24"/>
          <w:szCs w:val="24"/>
          <w:lang w:val="en-US"/>
        </w:rPr>
        <w:t xml:space="preserve"> mil. KM, što je u nivou Budžeta Federacije BiH za 2016. godinu.</w:t>
      </w:r>
    </w:p>
    <w:p w:rsidR="00073FDC" w:rsidRDefault="00073FDC" w:rsidP="009513BF">
      <w:pPr>
        <w:spacing w:before="240" w:after="120" w:line="240" w:lineRule="auto"/>
        <w:jc w:val="both"/>
        <w:rPr>
          <w:rFonts w:asciiTheme="majorHAnsi" w:hAnsiTheme="majorHAnsi" w:cs="Arial"/>
          <w:b/>
          <w:sz w:val="24"/>
          <w:szCs w:val="24"/>
        </w:rPr>
      </w:pPr>
    </w:p>
    <w:p w:rsidR="009513BF" w:rsidRPr="009513BF" w:rsidRDefault="009513BF" w:rsidP="009513BF">
      <w:pPr>
        <w:spacing w:before="240" w:after="120" w:line="240" w:lineRule="auto"/>
        <w:jc w:val="both"/>
        <w:rPr>
          <w:rFonts w:asciiTheme="majorHAnsi" w:hAnsiTheme="majorHAnsi" w:cs="Arial"/>
          <w:b/>
          <w:sz w:val="24"/>
          <w:szCs w:val="24"/>
        </w:rPr>
      </w:pPr>
      <w:r w:rsidRPr="00410D9C">
        <w:rPr>
          <w:rFonts w:asciiTheme="majorHAnsi" w:hAnsiTheme="majorHAnsi" w:cs="Arial"/>
          <w:b/>
          <w:sz w:val="24"/>
          <w:szCs w:val="24"/>
        </w:rPr>
        <w:lastRenderedPageBreak/>
        <w:t>Kapitalni transferi</w:t>
      </w:r>
    </w:p>
    <w:p w:rsidR="009513BF" w:rsidRPr="009513BF" w:rsidRDefault="009513BF" w:rsidP="009513BF">
      <w:pPr>
        <w:tabs>
          <w:tab w:val="left" w:pos="2805"/>
        </w:tabs>
        <w:spacing w:before="12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Kapitalni transferi u Prijedlogu odluke o izmjenama i dopunama Budžeta Federaci</w:t>
      </w:r>
      <w:r w:rsidR="00A75ADB">
        <w:rPr>
          <w:rFonts w:asciiTheme="majorHAnsi" w:hAnsiTheme="majorHAnsi" w:cs="Arial"/>
          <w:sz w:val="24"/>
          <w:szCs w:val="24"/>
          <w:lang w:val="en-US"/>
        </w:rPr>
        <w:t>je BiH za 2016. godinu iznose 13,1</w:t>
      </w:r>
      <w:r w:rsidRPr="009513BF">
        <w:rPr>
          <w:rFonts w:asciiTheme="majorHAnsi" w:hAnsiTheme="majorHAnsi" w:cs="Arial"/>
          <w:sz w:val="24"/>
          <w:szCs w:val="24"/>
          <w:lang w:val="en-US"/>
        </w:rPr>
        <w:t xml:space="preserve"> mil. KM i u odnosu na iznos iz Budžeta Federacije BiH za 2016. godinu su </w:t>
      </w:r>
      <w:r w:rsidR="00A75ADB">
        <w:rPr>
          <w:rFonts w:asciiTheme="majorHAnsi" w:hAnsiTheme="majorHAnsi" w:cs="Arial"/>
          <w:sz w:val="24"/>
          <w:szCs w:val="24"/>
          <w:lang w:val="en-US"/>
        </w:rPr>
        <w:t>manji za 3,3</w:t>
      </w:r>
      <w:r w:rsidRPr="009513BF">
        <w:rPr>
          <w:rFonts w:asciiTheme="majorHAnsi" w:hAnsiTheme="majorHAnsi" w:cs="Arial"/>
          <w:sz w:val="24"/>
          <w:szCs w:val="24"/>
          <w:lang w:val="en-US"/>
        </w:rPr>
        <w:t xml:space="preserve"> mil. KM.</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Izdaci za kamate</w:t>
      </w:r>
    </w:p>
    <w:p w:rsidR="009513BF" w:rsidRPr="009513BF" w:rsidRDefault="009513BF" w:rsidP="009513BF">
      <w:pPr>
        <w:tabs>
          <w:tab w:val="left" w:pos="2805"/>
        </w:tabs>
        <w:spacing w:before="12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U Prijedlogu odluke o izmjenama i dopunama Budžeta Federacije BiH za 2016. godinu izdaci za kamate planirane su u iznosu od 120,3 mil. KM, što je za 3,0 mil. KM ili 2,5% manje u odnosu na</w:t>
      </w:r>
      <w:r w:rsidR="00C85D7E">
        <w:rPr>
          <w:rFonts w:asciiTheme="majorHAnsi" w:hAnsiTheme="majorHAnsi" w:cs="Arial"/>
          <w:sz w:val="24"/>
          <w:szCs w:val="24"/>
          <w:lang w:val="en-US"/>
        </w:rPr>
        <w:t xml:space="preserve"> planirani </w:t>
      </w:r>
      <w:r w:rsidRPr="009513BF">
        <w:rPr>
          <w:rFonts w:asciiTheme="majorHAnsi" w:hAnsiTheme="majorHAnsi" w:cs="Arial"/>
          <w:sz w:val="24"/>
          <w:szCs w:val="24"/>
          <w:lang w:val="en-US"/>
        </w:rPr>
        <w:t xml:space="preserve"> iznos iz 2016. godine.</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Izdaci za nabavku stalnih sredstava</w:t>
      </w:r>
    </w:p>
    <w:p w:rsidR="005E7F90" w:rsidRPr="009513BF" w:rsidRDefault="009513BF" w:rsidP="009513BF">
      <w:pPr>
        <w:tabs>
          <w:tab w:val="left" w:pos="2805"/>
        </w:tabs>
        <w:spacing w:before="12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Izdaci za nabavku stalnih sredstava u Prijedlogu odluke o izmjenama i dopunama Budžeta Federacije</w:t>
      </w:r>
      <w:r w:rsidR="00410D9C">
        <w:rPr>
          <w:rFonts w:asciiTheme="majorHAnsi" w:hAnsiTheme="majorHAnsi" w:cs="Arial"/>
          <w:sz w:val="24"/>
          <w:szCs w:val="24"/>
          <w:lang w:val="en-US"/>
        </w:rPr>
        <w:t xml:space="preserve"> BiH za 2016. godinu iznose 29,5</w:t>
      </w:r>
      <w:r w:rsidRPr="009513BF">
        <w:rPr>
          <w:rFonts w:asciiTheme="majorHAnsi" w:hAnsiTheme="majorHAnsi" w:cs="Arial"/>
          <w:sz w:val="24"/>
          <w:szCs w:val="24"/>
          <w:lang w:val="en-US"/>
        </w:rPr>
        <w:t xml:space="preserve"> mil. KM i u odnosu na </w:t>
      </w:r>
      <w:r w:rsidR="00C85D7E">
        <w:rPr>
          <w:rFonts w:asciiTheme="majorHAnsi" w:hAnsiTheme="majorHAnsi" w:cs="Arial"/>
          <w:sz w:val="24"/>
          <w:szCs w:val="24"/>
          <w:lang w:val="en-US"/>
        </w:rPr>
        <w:t xml:space="preserve"> planirani </w:t>
      </w:r>
      <w:r w:rsidRPr="009513BF">
        <w:rPr>
          <w:rFonts w:asciiTheme="majorHAnsi" w:hAnsiTheme="majorHAnsi" w:cs="Arial"/>
          <w:sz w:val="24"/>
          <w:szCs w:val="24"/>
          <w:lang w:val="en-US"/>
        </w:rPr>
        <w:t>iznos iz Budžeta Federacije BiH</w:t>
      </w:r>
      <w:r w:rsidR="00410D9C">
        <w:rPr>
          <w:rFonts w:asciiTheme="majorHAnsi" w:hAnsiTheme="majorHAnsi" w:cs="Arial"/>
          <w:sz w:val="24"/>
          <w:szCs w:val="24"/>
          <w:lang w:val="en-US"/>
        </w:rPr>
        <w:t xml:space="preserve"> za 2016. godinu manji su za 4,3</w:t>
      </w:r>
      <w:r w:rsidRPr="009513BF">
        <w:rPr>
          <w:rFonts w:asciiTheme="majorHAnsi" w:hAnsiTheme="majorHAnsi" w:cs="Arial"/>
          <w:sz w:val="24"/>
          <w:szCs w:val="24"/>
          <w:lang w:val="en-US"/>
        </w:rPr>
        <w:t xml:space="preserve"> mil. KM.</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Izdaci za finansijsku imovinu</w:t>
      </w:r>
    </w:p>
    <w:p w:rsidR="009513BF" w:rsidRPr="009513BF" w:rsidRDefault="009513BF" w:rsidP="009513BF">
      <w:pPr>
        <w:tabs>
          <w:tab w:val="left" w:pos="2805"/>
        </w:tabs>
        <w:spacing w:before="12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U Prijedlogu odluke o izmjenama i dopunama Budžeta Federacije BiH za 2016. godinu izdaci za finansijsku imovinu su umanjeni za 2,5 mil. KM i iznose 16,6 mil. KM.</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Izdaci za otplate dugova</w:t>
      </w:r>
    </w:p>
    <w:p w:rsidR="009513BF" w:rsidRPr="009513BF" w:rsidRDefault="009513BF" w:rsidP="009513BF">
      <w:pPr>
        <w:tabs>
          <w:tab w:val="left" w:pos="2805"/>
        </w:tabs>
        <w:spacing w:before="12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U Prijedlogu odluke o izmjenama i dopunama Budžeta Federacije BiH za 2016. godinu izdaci za otplate dugova planirani su u iznosu od 912,1 mil. KM, što je za 62,8 mil. KM ili 6,4% manje u odnosu na iznos iz 2016. godine.</w:t>
      </w:r>
    </w:p>
    <w:p w:rsid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Na sljedećem grafikonu prikazano je učešće pojedinih rashoda i izdataka u Prijedlogu odluke o izmjenama i dopunama Budžeta Federacije BiH za 2016. godinu:</w:t>
      </w:r>
    </w:p>
    <w:p w:rsidR="009513BF" w:rsidRPr="009513BF" w:rsidRDefault="00410D9C" w:rsidP="00410D9C">
      <w:pPr>
        <w:tabs>
          <w:tab w:val="left" w:pos="2805"/>
        </w:tabs>
        <w:spacing w:before="240" w:after="240" w:line="240" w:lineRule="auto"/>
        <w:jc w:val="center"/>
        <w:rPr>
          <w:rFonts w:asciiTheme="majorHAnsi" w:hAnsiTheme="majorHAnsi" w:cs="Arial"/>
          <w:sz w:val="24"/>
          <w:szCs w:val="24"/>
          <w:lang w:val="en-US"/>
        </w:rPr>
      </w:pPr>
      <w:r>
        <w:rPr>
          <w:lang w:eastAsia="bs-Latn-BA"/>
        </w:rPr>
        <w:drawing>
          <wp:inline distT="0" distB="0" distL="0" distR="0" wp14:anchorId="5509D6A3" wp14:editId="3330CC5E">
            <wp:extent cx="5448300" cy="2628900"/>
            <wp:effectExtent l="0" t="0" r="0" b="0"/>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p>
    <w:tbl>
      <w:tblPr>
        <w:tblpPr w:leftFromText="180" w:rightFromText="180" w:vertAnchor="text" w:horzAnchor="margin" w:tblpYSpec="bottom"/>
        <w:tblW w:w="5187" w:type="pct"/>
        <w:tblCellMar>
          <w:left w:w="360" w:type="dxa"/>
          <w:right w:w="360" w:type="dxa"/>
        </w:tblCellMar>
        <w:tblLook w:val="04A0" w:firstRow="1" w:lastRow="0" w:firstColumn="1" w:lastColumn="0" w:noHBand="0" w:noVBand="1"/>
      </w:tblPr>
      <w:tblGrid>
        <w:gridCol w:w="1134"/>
        <w:gridCol w:w="8576"/>
      </w:tblGrid>
      <w:tr w:rsidR="009513BF" w:rsidTr="00C26CF4">
        <w:trPr>
          <w:trHeight w:val="758"/>
        </w:trPr>
        <w:tc>
          <w:tcPr>
            <w:tcW w:w="584" w:type="pct"/>
            <w:shd w:val="clear" w:color="auto" w:fill="4F6228" w:themeFill="accent3" w:themeFillShade="80"/>
            <w:vAlign w:val="center"/>
          </w:tcPr>
          <w:p w:rsidR="009513BF" w:rsidRPr="009513BF" w:rsidRDefault="009539DA" w:rsidP="00C26CF4">
            <w:pPr>
              <w:pStyle w:val="NoSpacing"/>
              <w:jc w:val="center"/>
              <w:rPr>
                <w:rFonts w:asciiTheme="majorHAnsi" w:hAnsiTheme="majorHAnsi"/>
                <w:b/>
                <w:smallCaps/>
                <w:color w:val="FFFFFF" w:themeColor="background1"/>
                <w:sz w:val="32"/>
                <w:szCs w:val="24"/>
              </w:rPr>
            </w:pPr>
            <w:r>
              <w:rPr>
                <w:rFonts w:asciiTheme="majorHAnsi" w:hAnsiTheme="majorHAnsi"/>
                <w:b/>
                <w:smallCaps/>
                <w:color w:val="FFFFFF" w:themeColor="background1"/>
                <w:sz w:val="32"/>
                <w:szCs w:val="24"/>
              </w:rPr>
              <w:lastRenderedPageBreak/>
              <w:t>6</w:t>
            </w:r>
            <w:r w:rsidR="009513BF" w:rsidRPr="009513BF">
              <w:rPr>
                <w:rFonts w:asciiTheme="majorHAnsi" w:hAnsiTheme="majorHAnsi"/>
                <w:b/>
                <w:smallCaps/>
                <w:color w:val="FFFFFF" w:themeColor="background1"/>
                <w:sz w:val="32"/>
                <w:szCs w:val="24"/>
              </w:rPr>
              <w:t>.</w:t>
            </w:r>
          </w:p>
        </w:tc>
        <w:tc>
          <w:tcPr>
            <w:tcW w:w="4416" w:type="pct"/>
            <w:shd w:val="clear" w:color="auto" w:fill="C2D69B" w:themeFill="accent3" w:themeFillTint="99"/>
            <w:vAlign w:val="center"/>
          </w:tcPr>
          <w:p w:rsidR="009513BF" w:rsidRPr="009513BF" w:rsidRDefault="009513BF" w:rsidP="00C26CF4">
            <w:pPr>
              <w:pStyle w:val="NoSpacing"/>
              <w:rPr>
                <w:rFonts w:asciiTheme="majorHAnsi" w:hAnsiTheme="majorHAnsi"/>
                <w:b/>
                <w:smallCaps/>
                <w:color w:val="FFFFFF" w:themeColor="background1"/>
                <w:sz w:val="32"/>
                <w:szCs w:val="28"/>
                <w:lang w:val="de-DE"/>
              </w:rPr>
            </w:pPr>
            <w:r>
              <w:rPr>
                <w:rFonts w:asciiTheme="majorHAnsi" w:hAnsiTheme="majorHAnsi"/>
                <w:b/>
                <w:smallCaps/>
                <w:sz w:val="32"/>
                <w:szCs w:val="28"/>
                <w:lang w:val="de-DE"/>
              </w:rPr>
              <w:t>OBRAZLOŽENJE PO EKONOMSKIM KODOVIMA</w:t>
            </w:r>
          </w:p>
        </w:tc>
      </w:tr>
    </w:tbl>
    <w:p w:rsidR="009513BF" w:rsidRPr="009513BF" w:rsidRDefault="009539DA" w:rsidP="009513BF">
      <w:pPr>
        <w:tabs>
          <w:tab w:val="left" w:pos="2805"/>
        </w:tabs>
        <w:spacing w:before="240" w:after="240" w:line="240" w:lineRule="auto"/>
        <w:jc w:val="both"/>
        <w:rPr>
          <w:rFonts w:asciiTheme="majorHAnsi" w:hAnsiTheme="majorHAnsi" w:cs="Arial"/>
          <w:b/>
          <w:sz w:val="24"/>
          <w:szCs w:val="24"/>
        </w:rPr>
      </w:pPr>
      <w:r>
        <w:rPr>
          <w:rFonts w:asciiTheme="majorHAnsi" w:hAnsiTheme="majorHAnsi" w:cs="Arial"/>
          <w:b/>
          <w:sz w:val="24"/>
          <w:szCs w:val="24"/>
        </w:rPr>
        <w:lastRenderedPageBreak/>
        <w:t>6</w:t>
      </w:r>
      <w:r w:rsidR="009513BF" w:rsidRPr="009513BF">
        <w:rPr>
          <w:rFonts w:asciiTheme="majorHAnsi" w:hAnsiTheme="majorHAnsi" w:cs="Arial"/>
          <w:b/>
          <w:sz w:val="24"/>
          <w:szCs w:val="24"/>
        </w:rPr>
        <w:t>.1. PLAĆE I NAKNADE TROŠKOVA ZAPOSLENIH</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6111 – Bruto plaće i naknade</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Bruto plaće i naknade po osnovu redovnog rada planirane su na osnovu Zakona  o plaćama i naknadama u organima vlasti  Federacije Bosne i Hercegovine i Zakona o plaćama i naknadama policijskih službenika Federacije Bosne i Hercegovine za sve zaposlene uz primjenu osnovice za obračun plaća od 315,00 KM. Ukupno planirana sredstva u </w:t>
      </w:r>
      <w:r w:rsidRPr="009513BF">
        <w:rPr>
          <w:rFonts w:asciiTheme="majorHAnsi" w:hAnsiTheme="majorHAnsi" w:cs="Arial"/>
          <w:sz w:val="24"/>
          <w:szCs w:val="24"/>
          <w:lang w:val="en-US"/>
        </w:rPr>
        <w:t>Prijedlogu odluke o izmjenama i dopunama Budžeta Federacije BiH za 2016. godinu</w:t>
      </w:r>
      <w:r w:rsidRPr="009513BF">
        <w:rPr>
          <w:rFonts w:asciiTheme="majorHAnsi" w:hAnsiTheme="majorHAnsi" w:cs="Arial"/>
          <w:sz w:val="24"/>
          <w:szCs w:val="24"/>
        </w:rPr>
        <w:t xml:space="preserve"> na ovoj poziciji iznose 180,3 mil. KM, što predstavlja smanjenje u odnosu na iznos Budžeta Federacije BiH za 2016. godinu od 8,8 mil. KM ili 4,6%. Jedan od razloga  smanjenja jeste i politika Vlade Federacije BiH o obustavi zapošljavanja, što je za posljedicu imalo značajno sporiju dinamiku popunjavanja planiranih radnih mjesta čime je stvoren dodatni prostor za uštede. </w:t>
      </w:r>
    </w:p>
    <w:p w:rsidR="009513BF" w:rsidRPr="009513BF" w:rsidRDefault="009513BF" w:rsidP="009513BF">
      <w:p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Zaključkom Vlade Federacije Bosne i Hercegovine V.broj: 1363/2016, od 24.06.2016. godine usvojen Dokument politike o ograničavanju javne potrošnje na plaće i naknade troškova zaposlenih. Ovim dokumentom Vlada Federacije Bosne i Hercegovine je pruzela obavezu da reducira ukupan okvir za plaće i naknade koji se izdvaja iz Budžeta Federacije Bosne i Hercegovine počevši od 2017. godine. Navedeno se namjerava provesti kroz politiku kontrolisanog zapošljavanja u federalnim organima uprave, reorganizacijom i većom horizontalnom fluktuacijom državnih službenika i namještenika između pojednih federalnih organa uprave. Budžet Federacije Bosne i Hercegovine za 2016. godinu je planirao upošljavanje 7.360 osoba, a u 2017. godini taj broj će se umanjiti za 150 osoba i iznosiće 7.210, što će rezultirati uštedom od oko 5,2 miliona KM. </w:t>
      </w:r>
      <w:r w:rsidRPr="009513BF">
        <w:rPr>
          <w:rFonts w:asciiTheme="majorHAnsi" w:hAnsiTheme="majorHAnsi" w:cs="Arial"/>
          <w:sz w:val="24"/>
          <w:szCs w:val="24"/>
          <w:lang w:val="en-US"/>
        </w:rPr>
        <w:t xml:space="preserve">U međuvremenu, usvojena je Izmjena i dopuna Zaključka Vlade Federacije Bosne i Hercegovine V. broj: 1589/2016 od 18.08.2016. godine, na osnovu kojeg Vlada Federacije Bosne i Hercegovine može dati saglasnost za pokretanje procedure prijema na radna mjesta najviše do 50% izvršilaca u odnosu na broj upražnjenih radnih mjesta. </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6112 – Naknade troškova zaposlenih</w:t>
      </w:r>
    </w:p>
    <w:p w:rsid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Naknade troškova zaposlenih u </w:t>
      </w:r>
      <w:r w:rsidRPr="009513BF">
        <w:rPr>
          <w:rFonts w:asciiTheme="majorHAnsi" w:hAnsiTheme="majorHAnsi" w:cs="Arial"/>
          <w:sz w:val="24"/>
          <w:szCs w:val="24"/>
          <w:lang w:val="en-US"/>
        </w:rPr>
        <w:t>Prijedlogu odluke o izmjenama i dopunama Budžeta Federacije BiH za 2016. godinu</w:t>
      </w:r>
      <w:r w:rsidRPr="009513BF">
        <w:rPr>
          <w:rFonts w:asciiTheme="majorHAnsi" w:hAnsiTheme="majorHAnsi" w:cs="Arial"/>
          <w:sz w:val="24"/>
          <w:szCs w:val="24"/>
        </w:rPr>
        <w:t xml:space="preserve"> planirane su u iznosu od 27,9 mil. KM i manje su  0,5 mil. KM u odnosu na Budžet Federacije BiH za 2016. godinu. Osnova za planiranje ovih naknada su Uredba o naknadama koje pripadaju članovima Vlade FBiH i njihovim savjetnicima koje nemaju karakter plaće, te Izmjene Uredbe o naknadama koje nemaju karakter plaće (odnosi se na državne službenike i namještenike) kojim je Vlada FBiH smanjila naknade za odvojeni život, naknade za troškove smještaja, te naknadu za zakup stana za službene potrebe. Prilikom planiranja uzet je u obzir Zakon o izmjenama i dopunama Zakona o plaćama i drugim naknadama sudija i tužilaca u Federaciji Bosne i Hercegovine („Službene novine Federacije BiH“, broj 55/13). Navedenim zakonom regulisana su prava sudija, tužilaca i stručnih saradnika na naknade troškova zaposlenih.</w:t>
      </w:r>
    </w:p>
    <w:p w:rsidR="00A03F7B" w:rsidRPr="009513BF" w:rsidRDefault="00A03F7B" w:rsidP="009513BF">
      <w:pPr>
        <w:spacing w:before="120" w:after="240" w:line="240" w:lineRule="auto"/>
        <w:jc w:val="both"/>
        <w:rPr>
          <w:rFonts w:asciiTheme="majorHAnsi" w:hAnsiTheme="majorHAnsi" w:cs="Arial"/>
          <w:sz w:val="24"/>
          <w:szCs w:val="24"/>
        </w:rPr>
      </w:pPr>
    </w:p>
    <w:p w:rsidR="009513BF" w:rsidRPr="009513BF" w:rsidRDefault="009539DA" w:rsidP="009513BF">
      <w:pPr>
        <w:spacing w:before="240" w:after="240" w:line="240" w:lineRule="auto"/>
        <w:jc w:val="both"/>
        <w:rPr>
          <w:rFonts w:asciiTheme="majorHAnsi" w:hAnsiTheme="majorHAnsi" w:cs="Arial"/>
          <w:b/>
          <w:sz w:val="24"/>
          <w:szCs w:val="24"/>
        </w:rPr>
      </w:pPr>
      <w:r>
        <w:rPr>
          <w:rFonts w:asciiTheme="majorHAnsi" w:hAnsiTheme="majorHAnsi" w:cs="Arial"/>
          <w:b/>
          <w:sz w:val="24"/>
          <w:szCs w:val="24"/>
        </w:rPr>
        <w:lastRenderedPageBreak/>
        <w:t>6</w:t>
      </w:r>
      <w:r w:rsidR="009513BF" w:rsidRPr="009513BF">
        <w:rPr>
          <w:rFonts w:asciiTheme="majorHAnsi" w:hAnsiTheme="majorHAnsi" w:cs="Arial"/>
          <w:b/>
          <w:sz w:val="24"/>
          <w:szCs w:val="24"/>
        </w:rPr>
        <w:t>.2. DOPRINOSI POSLODAVCA I OSTALI DOPRINOSI</w:t>
      </w:r>
    </w:p>
    <w:p w:rsidR="009513BF" w:rsidRPr="009513BF" w:rsidRDefault="009513BF" w:rsidP="009513BF">
      <w:p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Doprinosi poslodavca planirani su u </w:t>
      </w:r>
      <w:r w:rsidRPr="009513BF">
        <w:rPr>
          <w:rFonts w:asciiTheme="majorHAnsi" w:hAnsiTheme="majorHAnsi" w:cs="Arial"/>
          <w:sz w:val="24"/>
          <w:szCs w:val="24"/>
          <w:lang w:val="en-US"/>
        </w:rPr>
        <w:t>Prijedlogu odluke o izmjenama i dopunama Budžeta Federacije BiH za 2016. godinu u</w:t>
      </w:r>
      <w:r w:rsidRPr="009513BF">
        <w:rPr>
          <w:rFonts w:asciiTheme="majorHAnsi" w:hAnsiTheme="majorHAnsi" w:cs="Arial"/>
          <w:sz w:val="24"/>
          <w:szCs w:val="24"/>
        </w:rPr>
        <w:t xml:space="preserve">  iznosu od 22,4 mil. KM što je za 1,0 mil. KM ili 4,4% manje u odnosu na  Budžet Federacije BiH za 2016. godinu. </w:t>
      </w:r>
    </w:p>
    <w:p w:rsidR="009513BF" w:rsidRPr="009513BF" w:rsidRDefault="009539DA" w:rsidP="009513BF">
      <w:pPr>
        <w:spacing w:before="240" w:after="240" w:line="240" w:lineRule="auto"/>
        <w:jc w:val="both"/>
        <w:rPr>
          <w:rFonts w:asciiTheme="majorHAnsi" w:hAnsiTheme="majorHAnsi" w:cs="Arial"/>
          <w:b/>
          <w:sz w:val="24"/>
          <w:szCs w:val="24"/>
        </w:rPr>
      </w:pPr>
      <w:r>
        <w:rPr>
          <w:rFonts w:asciiTheme="majorHAnsi" w:hAnsiTheme="majorHAnsi" w:cs="Arial"/>
          <w:b/>
          <w:sz w:val="24"/>
          <w:szCs w:val="24"/>
        </w:rPr>
        <w:t>6</w:t>
      </w:r>
      <w:r w:rsidR="009513BF" w:rsidRPr="00ED565E">
        <w:rPr>
          <w:rFonts w:asciiTheme="majorHAnsi" w:hAnsiTheme="majorHAnsi" w:cs="Arial"/>
          <w:b/>
          <w:sz w:val="24"/>
          <w:szCs w:val="24"/>
        </w:rPr>
        <w:t>.3. IZDACI ZA MATERIJAL, SITNI INVENTAR I USLUGE</w:t>
      </w:r>
    </w:p>
    <w:p w:rsidR="009513BF" w:rsidRPr="009513BF" w:rsidRDefault="009513BF" w:rsidP="009513BF">
      <w:p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Izdaci za materijal, sitni inventar i usluge planirani su u </w:t>
      </w:r>
      <w:r w:rsidRPr="009513BF">
        <w:rPr>
          <w:rFonts w:asciiTheme="majorHAnsi" w:hAnsiTheme="majorHAnsi" w:cs="Arial"/>
          <w:sz w:val="24"/>
          <w:szCs w:val="24"/>
          <w:lang w:val="en-US"/>
        </w:rPr>
        <w:t>Prijedlogu odluke o izmjenama i dopunama Budžeta Federacije BiH za 2016. godinu</w:t>
      </w:r>
      <w:r w:rsidRPr="009513BF">
        <w:rPr>
          <w:rFonts w:asciiTheme="majorHAnsi" w:hAnsiTheme="majorHAnsi" w:cs="Arial"/>
          <w:sz w:val="24"/>
          <w:szCs w:val="24"/>
        </w:rPr>
        <w:t xml:space="preserve"> u iznosu od 92,4 mil. KM, što je za 0,6 mil. KM ili 0,7% više u odnosu na Budžet Federacije BiH za 2016. godinu. Znatan dio sredstava se odnosi na sredstva koja će se finansirati sa podračuna, tj. za njihovo finansiranje su obezbjeđena namjenska sredstva na prihodovnoj strani.</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6131 - Putni troškovi</w:t>
      </w:r>
    </w:p>
    <w:p w:rsidR="009513BF" w:rsidRPr="009513BF" w:rsidRDefault="009513BF" w:rsidP="009513BF">
      <w:pPr>
        <w:spacing w:before="120" w:after="240" w:line="240" w:lineRule="auto"/>
        <w:jc w:val="both"/>
        <w:rPr>
          <w:rFonts w:asciiTheme="majorHAnsi" w:hAnsiTheme="majorHAnsi" w:cs="Arial"/>
          <w:color w:val="FF0000"/>
          <w:sz w:val="24"/>
          <w:szCs w:val="24"/>
        </w:rPr>
      </w:pPr>
      <w:r w:rsidRPr="009513BF">
        <w:rPr>
          <w:rFonts w:asciiTheme="majorHAnsi" w:hAnsiTheme="majorHAnsi" w:cs="Arial"/>
          <w:sz w:val="24"/>
          <w:szCs w:val="24"/>
        </w:rPr>
        <w:t>Putni troškovi planirani su u iznos</w:t>
      </w:r>
      <w:r w:rsidR="00ED565E">
        <w:rPr>
          <w:rFonts w:asciiTheme="majorHAnsi" w:hAnsiTheme="majorHAnsi" w:cs="Arial"/>
          <w:sz w:val="24"/>
          <w:szCs w:val="24"/>
        </w:rPr>
        <w:t>u od 2,9 mil. KM, što je za 0,1</w:t>
      </w:r>
      <w:r w:rsidRPr="009513BF">
        <w:rPr>
          <w:rFonts w:asciiTheme="majorHAnsi" w:hAnsiTheme="majorHAnsi" w:cs="Arial"/>
          <w:sz w:val="24"/>
          <w:szCs w:val="24"/>
        </w:rPr>
        <w:t xml:space="preserve"> mil. KM manje u odnosu na Budžet Federacije BiH za 2016. godinu</w:t>
      </w:r>
      <w:r w:rsidRPr="009513BF">
        <w:rPr>
          <w:rFonts w:asciiTheme="majorHAnsi" w:hAnsiTheme="majorHAnsi" w:cs="Arial"/>
          <w:color w:val="FF0000"/>
          <w:sz w:val="24"/>
          <w:szCs w:val="24"/>
        </w:rPr>
        <w:t>.</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6132 – Izdaci za energiju</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Izdaci za energiju iz</w:t>
      </w:r>
      <w:r w:rsidR="00ED565E">
        <w:rPr>
          <w:rFonts w:asciiTheme="majorHAnsi" w:hAnsiTheme="majorHAnsi" w:cs="Arial"/>
          <w:sz w:val="24"/>
          <w:szCs w:val="24"/>
        </w:rPr>
        <w:t>nose 6,1 mil. KM, što je za 0,2</w:t>
      </w:r>
      <w:r w:rsidRPr="009513BF">
        <w:rPr>
          <w:rFonts w:asciiTheme="majorHAnsi" w:hAnsiTheme="majorHAnsi" w:cs="Arial"/>
          <w:sz w:val="24"/>
          <w:szCs w:val="24"/>
        </w:rPr>
        <w:t xml:space="preserve"> mil. KM manje u odnosu na Budžet Federacije BiH za 2016. godinu.</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6133 – Izdaci za komunikaciju i komunalne usluge</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Izdaci za komunikaciju i komunalne usluge iz</w:t>
      </w:r>
      <w:r w:rsidR="00ED565E">
        <w:rPr>
          <w:rFonts w:asciiTheme="majorHAnsi" w:hAnsiTheme="majorHAnsi" w:cs="Arial"/>
          <w:sz w:val="24"/>
          <w:szCs w:val="24"/>
        </w:rPr>
        <w:t>nose 5,9 mil. KM, što je za 0,1</w:t>
      </w:r>
      <w:r w:rsidRPr="009513BF">
        <w:rPr>
          <w:rFonts w:asciiTheme="majorHAnsi" w:hAnsiTheme="majorHAnsi" w:cs="Arial"/>
          <w:sz w:val="24"/>
          <w:szCs w:val="24"/>
        </w:rPr>
        <w:t xml:space="preserve"> mil. KM više u odnosu na Budžet Federacije BiH za 2016. godinu.</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6134 – Nabavka materijala i sitnog inventara</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Izdaci za nabavku materijala i sitnog inventara planirani su u iznosu od 1</w:t>
      </w:r>
      <w:r w:rsidR="001E2EF0">
        <w:rPr>
          <w:rFonts w:asciiTheme="majorHAnsi" w:hAnsiTheme="majorHAnsi" w:cs="Arial"/>
          <w:sz w:val="24"/>
          <w:szCs w:val="24"/>
        </w:rPr>
        <w:t>6,0 mil. KM i smanjeni su za 0,6</w:t>
      </w:r>
      <w:r w:rsidRPr="009513BF">
        <w:rPr>
          <w:rFonts w:asciiTheme="majorHAnsi" w:hAnsiTheme="majorHAnsi" w:cs="Arial"/>
          <w:sz w:val="24"/>
          <w:szCs w:val="24"/>
        </w:rPr>
        <w:t xml:space="preserve"> mil. KM. </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6135 – Izdaci za usluge prevoza i goriva</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Izdaci za usluge prevoza i goriva smanjeni su u odnosu na Budžet Federa</w:t>
      </w:r>
      <w:r w:rsidR="001E2EF0">
        <w:rPr>
          <w:rFonts w:asciiTheme="majorHAnsi" w:hAnsiTheme="majorHAnsi" w:cs="Arial"/>
          <w:sz w:val="24"/>
          <w:szCs w:val="24"/>
        </w:rPr>
        <w:t>cije BiH za 2016. godinu za 0,3</w:t>
      </w:r>
      <w:r w:rsidRPr="009513BF">
        <w:rPr>
          <w:rFonts w:asciiTheme="majorHAnsi" w:hAnsiTheme="majorHAnsi" w:cs="Arial"/>
          <w:sz w:val="24"/>
          <w:szCs w:val="24"/>
        </w:rPr>
        <w:t xml:space="preserve"> mil. KM i iznose 3,0 mil. KM.</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6136 – Unajmljivanje imovine, opreme i nematerijalne imovine</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Izdaci za unajmljivanje imovine, opreme i nematerijalne imovine planirani su u iznosu od 8,3 mil. KM što je na nivou iznosa iz 2016. godine.</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6137 – Izdaci za tekuće održavanje</w:t>
      </w:r>
    </w:p>
    <w:p w:rsid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Izdaci za tekuće održavanje planirani su u iznosu</w:t>
      </w:r>
      <w:r w:rsidR="001E2EF0">
        <w:rPr>
          <w:rFonts w:asciiTheme="majorHAnsi" w:hAnsiTheme="majorHAnsi" w:cs="Arial"/>
          <w:sz w:val="24"/>
          <w:szCs w:val="24"/>
        </w:rPr>
        <w:t xml:space="preserve"> od 4,4 mil. KM i veći su za 0,</w:t>
      </w:r>
      <w:r w:rsidRPr="009513BF">
        <w:rPr>
          <w:rFonts w:asciiTheme="majorHAnsi" w:hAnsiTheme="majorHAnsi" w:cs="Arial"/>
          <w:sz w:val="24"/>
          <w:szCs w:val="24"/>
        </w:rPr>
        <w:t xml:space="preserve">1 mil. KM u odnosu na </w:t>
      </w:r>
      <w:r w:rsidR="00C85D7E">
        <w:rPr>
          <w:rFonts w:asciiTheme="majorHAnsi" w:hAnsiTheme="majorHAnsi" w:cs="Arial"/>
          <w:sz w:val="24"/>
          <w:szCs w:val="24"/>
        </w:rPr>
        <w:t>planiran iznos 2016. godine</w:t>
      </w:r>
      <w:r w:rsidRPr="009513BF">
        <w:rPr>
          <w:rFonts w:asciiTheme="majorHAnsi" w:hAnsiTheme="majorHAnsi" w:cs="Arial"/>
          <w:sz w:val="24"/>
          <w:szCs w:val="24"/>
        </w:rPr>
        <w:t>.</w:t>
      </w:r>
    </w:p>
    <w:p w:rsidR="00A03F7B" w:rsidRPr="009513BF" w:rsidRDefault="00A03F7B" w:rsidP="009513BF">
      <w:pPr>
        <w:spacing w:before="120" w:after="240" w:line="240" w:lineRule="auto"/>
        <w:jc w:val="both"/>
        <w:rPr>
          <w:rFonts w:asciiTheme="majorHAnsi" w:hAnsiTheme="majorHAnsi" w:cs="Arial"/>
          <w:sz w:val="24"/>
          <w:szCs w:val="24"/>
        </w:rPr>
      </w:pP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lastRenderedPageBreak/>
        <w:t>6138 – Izdaci osiguranja, bankarskih usluga i usluga platnog prometa</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Izdaci osiguranja, bankarskih usluga i usluga platnog prometa planirani su u iznosu od 2,0 mil. KM i u odno</w:t>
      </w:r>
      <w:r w:rsidR="00A75ADB">
        <w:rPr>
          <w:rFonts w:asciiTheme="majorHAnsi" w:hAnsiTheme="majorHAnsi" w:cs="Arial"/>
          <w:sz w:val="24"/>
          <w:szCs w:val="24"/>
        </w:rPr>
        <w:t>su na 2016. godinu su manji za 0,02 mil. KM.</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6139 – Ugovorene i druge posebne usluge</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Ugovorene i druge p</w:t>
      </w:r>
      <w:r w:rsidR="00FC626E">
        <w:rPr>
          <w:rFonts w:asciiTheme="majorHAnsi" w:hAnsiTheme="majorHAnsi" w:cs="Arial"/>
          <w:sz w:val="24"/>
          <w:szCs w:val="24"/>
        </w:rPr>
        <w:t>osebne usluge povećane su za 1,5</w:t>
      </w:r>
      <w:r w:rsidRPr="009513BF">
        <w:rPr>
          <w:rFonts w:asciiTheme="majorHAnsi" w:hAnsiTheme="majorHAnsi" w:cs="Arial"/>
          <w:sz w:val="24"/>
          <w:szCs w:val="24"/>
        </w:rPr>
        <w:t xml:space="preserve"> mil. KM i iznose 43,7 mil. KM. </w:t>
      </w:r>
    </w:p>
    <w:p w:rsidR="009513BF" w:rsidRPr="009513BF" w:rsidRDefault="009539DA" w:rsidP="009513BF">
      <w:pPr>
        <w:spacing w:before="240" w:after="240" w:line="240" w:lineRule="auto"/>
        <w:jc w:val="both"/>
        <w:rPr>
          <w:rFonts w:asciiTheme="majorHAnsi" w:hAnsiTheme="majorHAnsi" w:cs="Arial"/>
          <w:b/>
          <w:sz w:val="24"/>
          <w:szCs w:val="24"/>
        </w:rPr>
      </w:pPr>
      <w:r>
        <w:rPr>
          <w:rFonts w:asciiTheme="majorHAnsi" w:hAnsiTheme="majorHAnsi" w:cs="Arial"/>
          <w:b/>
          <w:sz w:val="24"/>
          <w:szCs w:val="24"/>
        </w:rPr>
        <w:t>6</w:t>
      </w:r>
      <w:r w:rsidR="009513BF" w:rsidRPr="009513BF">
        <w:rPr>
          <w:rFonts w:asciiTheme="majorHAnsi" w:hAnsiTheme="majorHAnsi" w:cs="Arial"/>
          <w:b/>
          <w:sz w:val="24"/>
          <w:szCs w:val="24"/>
        </w:rPr>
        <w:t>.4. TEKUĆI TRANSFERI I DRUGI TEKUĆI RASHODI</w:t>
      </w:r>
    </w:p>
    <w:p w:rsidR="009513BF" w:rsidRPr="009513BF" w:rsidRDefault="009513BF" w:rsidP="009513BF">
      <w:p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lang w:val="en-US"/>
        </w:rPr>
        <w:t>Prijedlogom odluke o izmjenama i dopunama Budžeta Federacije BiH za 2016. godinu</w:t>
      </w:r>
      <w:r w:rsidRPr="009513BF">
        <w:rPr>
          <w:rFonts w:asciiTheme="majorHAnsi" w:hAnsiTheme="majorHAnsi" w:cs="Arial"/>
          <w:sz w:val="24"/>
          <w:szCs w:val="24"/>
        </w:rPr>
        <w:t xml:space="preserve"> tekući transferi i drugi tekući rashodi </w:t>
      </w:r>
      <w:r w:rsidR="00FC626E">
        <w:rPr>
          <w:rFonts w:asciiTheme="majorHAnsi" w:hAnsiTheme="majorHAnsi" w:cs="Arial"/>
          <w:sz w:val="24"/>
          <w:szCs w:val="24"/>
        </w:rPr>
        <w:t>planirani su u iznosu od 1.077</w:t>
      </w:r>
      <w:r w:rsidR="00A75ADB">
        <w:rPr>
          <w:rFonts w:asciiTheme="majorHAnsi" w:hAnsiTheme="majorHAnsi" w:cs="Arial"/>
          <w:sz w:val="24"/>
          <w:szCs w:val="24"/>
        </w:rPr>
        <w:t xml:space="preserve">,5 mil. KM i skoro su identični </w:t>
      </w:r>
      <w:r w:rsidRPr="009513BF">
        <w:rPr>
          <w:rFonts w:asciiTheme="majorHAnsi" w:hAnsiTheme="majorHAnsi" w:cs="Arial"/>
          <w:sz w:val="24"/>
          <w:szCs w:val="24"/>
        </w:rPr>
        <w:t>u odnosu na Budžet Federacije BiH za 2016. godinu.</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6141 – Tekući transferi drugim nivoima vlasti i fondovima</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Tekući transferi drugim nivoima vlasti i fondovim</w:t>
      </w:r>
      <w:r w:rsidR="00FC626E">
        <w:rPr>
          <w:rFonts w:asciiTheme="majorHAnsi" w:hAnsiTheme="majorHAnsi" w:cs="Arial"/>
          <w:sz w:val="24"/>
          <w:szCs w:val="24"/>
        </w:rPr>
        <w:t>a planirani su u iznosu od 392</w:t>
      </w:r>
      <w:r w:rsidR="00A75ADB">
        <w:rPr>
          <w:rFonts w:asciiTheme="majorHAnsi" w:hAnsiTheme="majorHAnsi" w:cs="Arial"/>
          <w:sz w:val="24"/>
          <w:szCs w:val="24"/>
        </w:rPr>
        <w:t>,6</w:t>
      </w:r>
      <w:r w:rsidRPr="009513BF">
        <w:rPr>
          <w:rFonts w:asciiTheme="majorHAnsi" w:hAnsiTheme="majorHAnsi" w:cs="Arial"/>
          <w:sz w:val="24"/>
          <w:szCs w:val="24"/>
        </w:rPr>
        <w:t xml:space="preserve"> mil. </w:t>
      </w:r>
      <w:r w:rsidR="00FC626E">
        <w:rPr>
          <w:rFonts w:asciiTheme="majorHAnsi" w:hAnsiTheme="majorHAnsi" w:cs="Arial"/>
          <w:sz w:val="24"/>
          <w:szCs w:val="24"/>
        </w:rPr>
        <w:t>KM, odnosno smanjeni su za 43</w:t>
      </w:r>
      <w:r w:rsidR="00A75ADB">
        <w:rPr>
          <w:rFonts w:asciiTheme="majorHAnsi" w:hAnsiTheme="majorHAnsi" w:cs="Arial"/>
          <w:sz w:val="24"/>
          <w:szCs w:val="24"/>
        </w:rPr>
        <w:t xml:space="preserve">,1 </w:t>
      </w:r>
      <w:r w:rsidRPr="009513BF">
        <w:rPr>
          <w:rFonts w:asciiTheme="majorHAnsi" w:hAnsiTheme="majorHAnsi" w:cs="Arial"/>
          <w:sz w:val="24"/>
          <w:szCs w:val="24"/>
        </w:rPr>
        <w:t>mil. KM u odnosu na sredstva planirana u Budžetu Federacije BiH za 2016. godinu.</w:t>
      </w:r>
    </w:p>
    <w:p w:rsidR="009513BF" w:rsidRPr="00C85D7E" w:rsidRDefault="009513BF" w:rsidP="00C85D7E">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Najznačajnije promjene tekućih transfera drugim nivoima vlasti i fondovima su: </w:t>
      </w:r>
    </w:p>
    <w:p w:rsidR="009513BF" w:rsidRPr="009513BF" w:rsidRDefault="009513BF" w:rsidP="009513BF">
      <w:pPr>
        <w:pStyle w:val="ListParagraph"/>
        <w:numPr>
          <w:ilvl w:val="0"/>
          <w:numId w:val="5"/>
        </w:num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Tekući transferi drugim nivoima vlasti i fondovima - Transfer po osnovu prava demobilisanih boraca i članova njihovih porodica planiran je u iznosu od 21,0 mil. KM, smanjen za 2,3 mil. KM; </w:t>
      </w:r>
    </w:p>
    <w:p w:rsidR="009513BF" w:rsidRPr="009513BF" w:rsidRDefault="009513BF" w:rsidP="009513BF">
      <w:pPr>
        <w:pStyle w:val="ListParagraph"/>
        <w:numPr>
          <w:ilvl w:val="0"/>
          <w:numId w:val="5"/>
        </w:num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Tekući transferi drugim nivoima vlasti i fondovima – Zaštita i spašavanje od prirodnih i drugih</w:t>
      </w:r>
      <w:r w:rsidR="00C85D7E">
        <w:rPr>
          <w:rFonts w:asciiTheme="majorHAnsi" w:hAnsiTheme="majorHAnsi" w:cs="Arial"/>
          <w:sz w:val="24"/>
          <w:szCs w:val="24"/>
        </w:rPr>
        <w:t xml:space="preserve"> nesreća u iznosu od 5,0 mil KM</w:t>
      </w:r>
      <w:r w:rsidR="00D03608">
        <w:rPr>
          <w:rFonts w:asciiTheme="majorHAnsi" w:hAnsiTheme="majorHAnsi" w:cs="Arial"/>
          <w:sz w:val="24"/>
          <w:szCs w:val="24"/>
        </w:rPr>
        <w:t xml:space="preserve"> što predstavlja </w:t>
      </w:r>
      <w:r w:rsidR="00C85D7E">
        <w:rPr>
          <w:rFonts w:asciiTheme="majorHAnsi" w:hAnsiTheme="majorHAnsi" w:cs="Arial"/>
          <w:sz w:val="24"/>
          <w:szCs w:val="24"/>
        </w:rPr>
        <w:t xml:space="preserve"> povećanje u odnosu</w:t>
      </w:r>
      <w:r w:rsidR="00D03608">
        <w:rPr>
          <w:rFonts w:asciiTheme="majorHAnsi" w:hAnsiTheme="majorHAnsi" w:cs="Arial"/>
          <w:sz w:val="24"/>
          <w:szCs w:val="24"/>
        </w:rPr>
        <w:t xml:space="preserve"> na Budžet FBiH 2016.</w:t>
      </w:r>
    </w:p>
    <w:p w:rsidR="009513BF" w:rsidRPr="00A03F7B" w:rsidRDefault="009513BF" w:rsidP="00A03F7B">
      <w:pPr>
        <w:pStyle w:val="ListParagraph"/>
        <w:numPr>
          <w:ilvl w:val="0"/>
          <w:numId w:val="5"/>
        </w:num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Tekući transferi drugim nivoima vlasti i fondovima – Razvoj turizma u Federac</w:t>
      </w:r>
      <w:r w:rsidR="00D03608">
        <w:rPr>
          <w:rFonts w:asciiTheme="majorHAnsi" w:hAnsiTheme="majorHAnsi" w:cs="Arial"/>
          <w:sz w:val="24"/>
          <w:szCs w:val="24"/>
        </w:rPr>
        <w:t xml:space="preserve">iji BiH u iznosu od </w:t>
      </w:r>
      <w:r w:rsidR="005C0C45">
        <w:rPr>
          <w:rFonts w:asciiTheme="majorHAnsi" w:hAnsiTheme="majorHAnsi" w:cs="Arial"/>
          <w:sz w:val="24"/>
          <w:szCs w:val="24"/>
        </w:rPr>
        <w:t>3</w:t>
      </w:r>
      <w:r w:rsidR="00D03608">
        <w:rPr>
          <w:rFonts w:asciiTheme="majorHAnsi" w:hAnsiTheme="majorHAnsi" w:cs="Arial"/>
          <w:sz w:val="24"/>
          <w:szCs w:val="24"/>
        </w:rPr>
        <w:t>,0 mil. KM što predstavlja  povećanje</w:t>
      </w:r>
      <w:r w:rsidR="005C0C45">
        <w:rPr>
          <w:rFonts w:asciiTheme="majorHAnsi" w:hAnsiTheme="majorHAnsi" w:cs="Arial"/>
          <w:sz w:val="24"/>
          <w:szCs w:val="24"/>
        </w:rPr>
        <w:t xml:space="preserve"> od 1,0 mil. KM</w:t>
      </w:r>
      <w:r w:rsidR="00D03608">
        <w:rPr>
          <w:rFonts w:asciiTheme="majorHAnsi" w:hAnsiTheme="majorHAnsi" w:cs="Arial"/>
          <w:sz w:val="24"/>
          <w:szCs w:val="24"/>
        </w:rPr>
        <w:t xml:space="preserve"> u odnosu na Budžet FBiH 2016.</w:t>
      </w:r>
    </w:p>
    <w:p w:rsidR="009513BF" w:rsidRPr="009513BF" w:rsidRDefault="009513BF" w:rsidP="009513BF">
      <w:pPr>
        <w:pStyle w:val="ListParagraph"/>
        <w:numPr>
          <w:ilvl w:val="0"/>
          <w:numId w:val="5"/>
        </w:num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Tekući transferi drugim nivoima vlasti i fondovima – Sufinansiranje projekata putem Fondacije Odraz, smanjen je za 2,0 Mil. KM;</w:t>
      </w:r>
    </w:p>
    <w:p w:rsidR="009513BF" w:rsidRPr="009513BF" w:rsidRDefault="009513BF" w:rsidP="009513BF">
      <w:pPr>
        <w:pStyle w:val="ListParagraph"/>
        <w:numPr>
          <w:ilvl w:val="0"/>
          <w:numId w:val="5"/>
        </w:num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Tekući transferi drugim nivoima vlasti i </w:t>
      </w:r>
      <w:r w:rsidR="00D03608">
        <w:rPr>
          <w:rFonts w:asciiTheme="majorHAnsi" w:hAnsiTheme="majorHAnsi" w:cs="Arial"/>
          <w:sz w:val="24"/>
          <w:szCs w:val="24"/>
        </w:rPr>
        <w:t>fondovima – Transfer za elementarne nepogode i druge nesreć</w:t>
      </w:r>
      <w:r w:rsidR="005C0C45">
        <w:rPr>
          <w:rFonts w:asciiTheme="majorHAnsi" w:hAnsiTheme="majorHAnsi" w:cs="Arial"/>
          <w:sz w:val="24"/>
          <w:szCs w:val="24"/>
        </w:rPr>
        <w:t>e</w:t>
      </w:r>
      <w:r w:rsidRPr="009513BF">
        <w:rPr>
          <w:rFonts w:asciiTheme="majorHAnsi" w:hAnsiTheme="majorHAnsi" w:cs="Arial"/>
          <w:sz w:val="24"/>
          <w:szCs w:val="24"/>
        </w:rPr>
        <w:t>, smanjen za 1,2 mil. KM;</w:t>
      </w:r>
    </w:p>
    <w:p w:rsidR="009513BF" w:rsidRPr="009513BF" w:rsidRDefault="009513BF" w:rsidP="009513BF">
      <w:pPr>
        <w:pStyle w:val="ListParagraph"/>
        <w:numPr>
          <w:ilvl w:val="0"/>
          <w:numId w:val="5"/>
        </w:num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Tekući transferi drugim nivoima vlasti i fondovima – Transfer po osnovu prava branilaca i članova n</w:t>
      </w:r>
      <w:r w:rsidR="00DF2B43">
        <w:rPr>
          <w:rFonts w:asciiTheme="majorHAnsi" w:hAnsiTheme="majorHAnsi" w:cs="Arial"/>
          <w:sz w:val="24"/>
          <w:szCs w:val="24"/>
        </w:rPr>
        <w:t>jihovih porodica, povećan za 1,1</w:t>
      </w:r>
      <w:r w:rsidRPr="009513BF">
        <w:rPr>
          <w:rFonts w:asciiTheme="majorHAnsi" w:hAnsiTheme="majorHAnsi" w:cs="Arial"/>
          <w:sz w:val="24"/>
          <w:szCs w:val="24"/>
        </w:rPr>
        <w:t xml:space="preserve"> mil. KM;</w:t>
      </w:r>
    </w:p>
    <w:p w:rsidR="009513BF" w:rsidRDefault="009513BF" w:rsidP="009513BF">
      <w:pPr>
        <w:pStyle w:val="ListParagraph"/>
        <w:numPr>
          <w:ilvl w:val="0"/>
          <w:numId w:val="5"/>
        </w:num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Tekući transferi drugim nivoima vlasti i fondovima - Transfer za pokriće dijela penzija po osnovu priznatog posebnog staža iz člana 94 Zakona o PIO/MIO planiran je u iznosu od 110,3</w:t>
      </w:r>
      <w:r w:rsidR="00DF2B43">
        <w:rPr>
          <w:rFonts w:asciiTheme="majorHAnsi" w:hAnsiTheme="majorHAnsi" w:cs="Arial"/>
          <w:sz w:val="24"/>
          <w:szCs w:val="24"/>
        </w:rPr>
        <w:t xml:space="preserve"> mil. KM, uvećan za 1,1 mil. KM.</w:t>
      </w:r>
    </w:p>
    <w:p w:rsidR="00DF2B43" w:rsidRDefault="00DF2B43" w:rsidP="00DF2B43">
      <w:pPr>
        <w:spacing w:before="240" w:after="240" w:line="240" w:lineRule="auto"/>
        <w:jc w:val="both"/>
        <w:rPr>
          <w:rFonts w:asciiTheme="majorHAnsi" w:hAnsiTheme="majorHAnsi" w:cs="Arial"/>
          <w:sz w:val="24"/>
          <w:szCs w:val="24"/>
        </w:rPr>
      </w:pPr>
    </w:p>
    <w:p w:rsidR="00DF2B43" w:rsidRDefault="00DF2B43" w:rsidP="00DF2B43">
      <w:pPr>
        <w:spacing w:before="240" w:after="240" w:line="240" w:lineRule="auto"/>
        <w:jc w:val="both"/>
        <w:rPr>
          <w:rFonts w:asciiTheme="majorHAnsi" w:hAnsiTheme="majorHAnsi" w:cs="Arial"/>
          <w:sz w:val="24"/>
          <w:szCs w:val="24"/>
        </w:rPr>
      </w:pPr>
    </w:p>
    <w:p w:rsidR="00DF2B43" w:rsidRDefault="00DF2B43" w:rsidP="00DF2B43">
      <w:pPr>
        <w:spacing w:before="240" w:after="240" w:line="240" w:lineRule="auto"/>
        <w:jc w:val="both"/>
        <w:rPr>
          <w:rFonts w:asciiTheme="majorHAnsi" w:hAnsiTheme="majorHAnsi" w:cs="Arial"/>
          <w:sz w:val="24"/>
          <w:szCs w:val="24"/>
        </w:rPr>
      </w:pPr>
    </w:p>
    <w:p w:rsidR="00DF2B43" w:rsidRPr="00DF2B43" w:rsidRDefault="00DF2B43" w:rsidP="00DF2B43">
      <w:pPr>
        <w:spacing w:before="240" w:after="240" w:line="240" w:lineRule="auto"/>
        <w:jc w:val="both"/>
        <w:rPr>
          <w:rFonts w:asciiTheme="majorHAnsi" w:hAnsiTheme="majorHAnsi" w:cs="Arial"/>
          <w:sz w:val="24"/>
          <w:szCs w:val="24"/>
        </w:rPr>
      </w:pP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lastRenderedPageBreak/>
        <w:t>6142 – Tekući transferi pojedincima</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Tekući transferi pojedincima planirani su u  </w:t>
      </w:r>
      <w:r w:rsidRPr="009513BF">
        <w:rPr>
          <w:rFonts w:asciiTheme="majorHAnsi" w:hAnsiTheme="majorHAnsi" w:cs="Arial"/>
          <w:sz w:val="24"/>
          <w:szCs w:val="24"/>
          <w:lang w:val="en-US"/>
        </w:rPr>
        <w:t>Prijedlogu odluke o izmjenama i dopunama Budžeta Federacije BiH za 2016. godinu</w:t>
      </w:r>
      <w:r w:rsidR="00DF2B43">
        <w:rPr>
          <w:rFonts w:asciiTheme="majorHAnsi" w:hAnsiTheme="majorHAnsi" w:cs="Arial"/>
          <w:sz w:val="24"/>
          <w:szCs w:val="24"/>
        </w:rPr>
        <w:t xml:space="preserve"> u iznosu od 470,8</w:t>
      </w:r>
      <w:r w:rsidRPr="009513BF">
        <w:rPr>
          <w:rFonts w:asciiTheme="majorHAnsi" w:hAnsiTheme="majorHAnsi" w:cs="Arial"/>
          <w:sz w:val="24"/>
          <w:szCs w:val="24"/>
        </w:rPr>
        <w:t xml:space="preserve"> mil. KM i manji su za 0,3 mil. KM u odnosu na Budžet Federacije BiH za 2016. godinu. Najznačajniji izmjene odnose se na:</w:t>
      </w:r>
    </w:p>
    <w:p w:rsidR="009513BF" w:rsidRPr="009513BF" w:rsidRDefault="009513BF" w:rsidP="009513BF">
      <w:pPr>
        <w:pStyle w:val="ListParagraph"/>
        <w:numPr>
          <w:ilvl w:val="0"/>
          <w:numId w:val="6"/>
        </w:num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Tekući transferi pojedincima – Transfer za lica sa invaliditetom – neratni invalidi, planiran je u iznosu od 137,9 mil. KM, što je za 6,9 mil. KM više u odnosu na sredstva planirana u 2016. godini;</w:t>
      </w:r>
    </w:p>
    <w:p w:rsidR="009513BF" w:rsidRPr="009513BF" w:rsidRDefault="009513BF" w:rsidP="009513BF">
      <w:pPr>
        <w:pStyle w:val="ListParagraph"/>
        <w:numPr>
          <w:ilvl w:val="0"/>
          <w:numId w:val="6"/>
        </w:num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Tekući transferi pojedincima - za  invalidnine, planiran je u iznosu od 290,6 mil. KM, što je za 7,6 mil. KM manje u odnosu na sredstva planirana u 2016. godini;</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6143 – Tekući transferi neprofitnim organizacijama</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Tekući transferi neprofitnim organizacijama planirani su u </w:t>
      </w:r>
      <w:r w:rsidRPr="009513BF">
        <w:rPr>
          <w:rFonts w:asciiTheme="majorHAnsi" w:hAnsiTheme="majorHAnsi" w:cs="Arial"/>
          <w:sz w:val="24"/>
          <w:szCs w:val="24"/>
          <w:lang w:val="en-US"/>
        </w:rPr>
        <w:t>Prijedlogu odluke o izmjenama i dopunama Budžeta Federacije BiH za 2016. godinu</w:t>
      </w:r>
      <w:r w:rsidRPr="009513BF">
        <w:rPr>
          <w:rFonts w:asciiTheme="majorHAnsi" w:hAnsiTheme="majorHAnsi" w:cs="Arial"/>
          <w:sz w:val="24"/>
          <w:szCs w:val="24"/>
        </w:rPr>
        <w:t xml:space="preserve"> iznosu od 22,4 mil. KM i manji su za 0,2 mil. KM. </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6144 – Subvencije javnim preduzećima</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Subvencije javnim preduzećima planirane su u </w:t>
      </w:r>
      <w:r w:rsidRPr="009513BF">
        <w:rPr>
          <w:rFonts w:asciiTheme="majorHAnsi" w:hAnsiTheme="majorHAnsi" w:cs="Arial"/>
          <w:sz w:val="24"/>
          <w:szCs w:val="24"/>
          <w:lang w:val="en-US"/>
        </w:rPr>
        <w:t>Prijedlogu odluke o izmjenama i dopunama Budžeta Federacije BiH za 2016. godinu u</w:t>
      </w:r>
      <w:r w:rsidRPr="009513BF">
        <w:rPr>
          <w:rFonts w:asciiTheme="majorHAnsi" w:hAnsiTheme="majorHAnsi" w:cs="Arial"/>
          <w:sz w:val="24"/>
          <w:szCs w:val="24"/>
        </w:rPr>
        <w:t xml:space="preserve"> iznosu od 37,9 mil. KM i ostali su u nivou planiranog Budžeta Federacije BiH za 2016. godinu.</w:t>
      </w:r>
    </w:p>
    <w:p w:rsidR="009513BF" w:rsidRPr="009513BF" w:rsidRDefault="009513BF" w:rsidP="009513BF">
      <w:pPr>
        <w:spacing w:before="240" w:after="120" w:line="240" w:lineRule="auto"/>
        <w:jc w:val="both"/>
        <w:rPr>
          <w:rFonts w:asciiTheme="majorHAnsi" w:hAnsiTheme="majorHAnsi" w:cs="Arial"/>
          <w:sz w:val="24"/>
          <w:szCs w:val="24"/>
        </w:rPr>
      </w:pPr>
      <w:r w:rsidRPr="009513BF">
        <w:rPr>
          <w:rFonts w:asciiTheme="majorHAnsi" w:hAnsiTheme="majorHAnsi" w:cs="Arial"/>
          <w:b/>
          <w:sz w:val="24"/>
          <w:szCs w:val="24"/>
        </w:rPr>
        <w:t>6144 – Subvencije privatnim preduzećima i poduzetnicima</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Subvencije privatnim preduzećima i poduzetnicima planirane su u </w:t>
      </w:r>
      <w:r w:rsidRPr="009513BF">
        <w:rPr>
          <w:rFonts w:asciiTheme="majorHAnsi" w:hAnsiTheme="majorHAnsi" w:cs="Arial"/>
          <w:sz w:val="24"/>
          <w:szCs w:val="24"/>
          <w:lang w:val="en-US"/>
        </w:rPr>
        <w:t>Prijedlogu odluke o izmjenama i dopunama Budžeta Federacije BiH za 2016. godinu u</w:t>
      </w:r>
      <w:r w:rsidR="002D53A9">
        <w:rPr>
          <w:rFonts w:asciiTheme="majorHAnsi" w:hAnsiTheme="majorHAnsi" w:cs="Arial"/>
          <w:sz w:val="24"/>
          <w:szCs w:val="24"/>
        </w:rPr>
        <w:t xml:space="preserve"> iznosu od 123,9</w:t>
      </w:r>
      <w:r w:rsidRPr="009513BF">
        <w:rPr>
          <w:rFonts w:asciiTheme="majorHAnsi" w:hAnsiTheme="majorHAnsi" w:cs="Arial"/>
          <w:sz w:val="24"/>
          <w:szCs w:val="24"/>
        </w:rPr>
        <w:t xml:space="preserve"> mil. KM. Najznačajniji transfer u ovoj kategoriji se odnosi na projekat finansiranja prvog zapošljavanja i samozapošljavanja, koji je</w:t>
      </w:r>
      <w:r w:rsidR="00101257">
        <w:rPr>
          <w:rFonts w:asciiTheme="majorHAnsi" w:hAnsiTheme="majorHAnsi" w:cs="Arial"/>
          <w:sz w:val="24"/>
          <w:szCs w:val="24"/>
        </w:rPr>
        <w:t xml:space="preserve"> u prijedlogu ove odluke ostao u istom iznosu </w:t>
      </w:r>
      <w:r w:rsidRPr="009513BF">
        <w:rPr>
          <w:rFonts w:asciiTheme="majorHAnsi" w:hAnsiTheme="majorHAnsi" w:cs="Arial"/>
          <w:sz w:val="24"/>
          <w:szCs w:val="24"/>
        </w:rPr>
        <w:t xml:space="preserve"> u odnosu na iznos koji je bio usvojen Budžetom Federacije BiH za 2016. godinu.</w:t>
      </w:r>
    </w:p>
    <w:p w:rsidR="009513BF" w:rsidRPr="009513BF" w:rsidRDefault="009539DA" w:rsidP="009513BF">
      <w:pPr>
        <w:spacing w:before="240" w:after="240" w:line="240" w:lineRule="auto"/>
        <w:jc w:val="both"/>
        <w:rPr>
          <w:rFonts w:asciiTheme="majorHAnsi" w:hAnsiTheme="majorHAnsi" w:cs="Arial"/>
          <w:b/>
          <w:sz w:val="24"/>
          <w:szCs w:val="24"/>
        </w:rPr>
      </w:pPr>
      <w:r>
        <w:rPr>
          <w:rFonts w:asciiTheme="majorHAnsi" w:hAnsiTheme="majorHAnsi" w:cs="Arial"/>
          <w:b/>
          <w:sz w:val="24"/>
          <w:szCs w:val="24"/>
        </w:rPr>
        <w:t>6</w:t>
      </w:r>
      <w:r w:rsidR="009513BF" w:rsidRPr="009513BF">
        <w:rPr>
          <w:rFonts w:asciiTheme="majorHAnsi" w:hAnsiTheme="majorHAnsi" w:cs="Arial"/>
          <w:b/>
          <w:sz w:val="24"/>
          <w:szCs w:val="24"/>
        </w:rPr>
        <w:t>.5. KAPITALNI TRANSFERI</w:t>
      </w:r>
    </w:p>
    <w:p w:rsidR="009513BF" w:rsidRPr="009513BF" w:rsidRDefault="009513BF" w:rsidP="009513BF">
      <w:p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Kapitalni transferi planirani su u </w:t>
      </w:r>
      <w:r w:rsidRPr="009513BF">
        <w:rPr>
          <w:rFonts w:asciiTheme="majorHAnsi" w:hAnsiTheme="majorHAnsi" w:cs="Arial"/>
          <w:sz w:val="24"/>
          <w:szCs w:val="24"/>
          <w:lang w:val="en-US"/>
        </w:rPr>
        <w:t xml:space="preserve">Prijedlogu odluke o izmjenama i dopunama Budžeta Federacije BiH za 2016. </w:t>
      </w:r>
      <w:r w:rsidR="00DF2B43">
        <w:rPr>
          <w:rFonts w:asciiTheme="majorHAnsi" w:hAnsiTheme="majorHAnsi" w:cs="Arial"/>
          <w:sz w:val="24"/>
          <w:szCs w:val="24"/>
          <w:lang w:val="en-US"/>
        </w:rPr>
        <w:t>g</w:t>
      </w:r>
      <w:r w:rsidRPr="009513BF">
        <w:rPr>
          <w:rFonts w:asciiTheme="majorHAnsi" w:hAnsiTheme="majorHAnsi" w:cs="Arial"/>
          <w:sz w:val="24"/>
          <w:szCs w:val="24"/>
          <w:lang w:val="en-US"/>
        </w:rPr>
        <w:t>odinu</w:t>
      </w:r>
      <w:r w:rsidR="00DF2B43">
        <w:rPr>
          <w:rFonts w:asciiTheme="majorHAnsi" w:hAnsiTheme="majorHAnsi" w:cs="Arial"/>
          <w:sz w:val="24"/>
          <w:szCs w:val="24"/>
          <w:lang w:val="en-US"/>
        </w:rPr>
        <w:t xml:space="preserve"> iznose 13,1 mil. KM i</w:t>
      </w:r>
      <w:r w:rsidR="00B404DF">
        <w:rPr>
          <w:rFonts w:asciiTheme="majorHAnsi" w:hAnsiTheme="majorHAnsi" w:cs="Arial"/>
          <w:sz w:val="24"/>
          <w:szCs w:val="24"/>
        </w:rPr>
        <w:t xml:space="preserve"> manji u iznosu od 3,3</w:t>
      </w:r>
      <w:r w:rsidRPr="009513BF">
        <w:rPr>
          <w:rFonts w:asciiTheme="majorHAnsi" w:hAnsiTheme="majorHAnsi" w:cs="Arial"/>
          <w:sz w:val="24"/>
          <w:szCs w:val="24"/>
        </w:rPr>
        <w:t xml:space="preserve"> mil. KM u odnosu na iznos iz Budžeta Federacije BiH za 2016. godinu.</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6151 – Kapitalni transferi drugim nivoima vlasti i fondovima</w:t>
      </w:r>
    </w:p>
    <w:p w:rsidR="009513BF" w:rsidRPr="009513BF" w:rsidRDefault="009513BF" w:rsidP="009513BF">
      <w:p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Kapitalni transferi drugim nivoima vlasti i fondovima planirani su u iznosu od 2,0 mil. KM što je za 0,3 mil. KM </w:t>
      </w:r>
      <w:r w:rsidR="00DF2B43">
        <w:rPr>
          <w:rFonts w:asciiTheme="majorHAnsi" w:hAnsiTheme="majorHAnsi" w:cs="Arial"/>
          <w:sz w:val="24"/>
          <w:szCs w:val="24"/>
        </w:rPr>
        <w:t>manje</w:t>
      </w:r>
      <w:r w:rsidRPr="009513BF">
        <w:rPr>
          <w:rFonts w:asciiTheme="majorHAnsi" w:hAnsiTheme="majorHAnsi" w:cs="Arial"/>
          <w:sz w:val="24"/>
          <w:szCs w:val="24"/>
        </w:rPr>
        <w:t xml:space="preserve"> u odnosu na Budžet Federacije BiH za 2016. godinu.</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6152 – Kapitalni transferi pojedincima</w:t>
      </w:r>
    </w:p>
    <w:p w:rsidR="009513BF" w:rsidRDefault="009513BF" w:rsidP="009513BF">
      <w:p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Kapitalni transferi pojedincima iznose 2,0 mil. KM i ostaje nepromjenjen iznos u odnosu na Budžet Federacije BiH za 2016. godinu.</w:t>
      </w:r>
    </w:p>
    <w:p w:rsidR="00DF2B43" w:rsidRPr="009513BF" w:rsidRDefault="00DF2B43" w:rsidP="009513BF">
      <w:pPr>
        <w:spacing w:before="240" w:after="240" w:line="240" w:lineRule="auto"/>
        <w:jc w:val="both"/>
        <w:rPr>
          <w:rFonts w:asciiTheme="majorHAnsi" w:hAnsiTheme="majorHAnsi" w:cs="Arial"/>
          <w:sz w:val="24"/>
          <w:szCs w:val="24"/>
        </w:rPr>
      </w:pP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lastRenderedPageBreak/>
        <w:t>6153 – Kapitalni transferi neprofitnim organizacijama</w:t>
      </w:r>
    </w:p>
    <w:p w:rsidR="00A03F7B" w:rsidRPr="009513BF" w:rsidRDefault="009513BF" w:rsidP="009513BF">
      <w:p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Kapitalni transferi neprofitnim organizacijama planirani su u iznosu od 2,9 mil. KM i ostaje nepromjenjen iznos u odnosu na Budžet Federacije BiH za 2016. godinu.</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6154 – Kapitalni transferi javnim preduzećima</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sz w:val="24"/>
          <w:szCs w:val="24"/>
        </w:rPr>
        <w:t>Kapitalni transfer</w:t>
      </w:r>
      <w:r w:rsidR="00B404DF">
        <w:rPr>
          <w:rFonts w:asciiTheme="majorHAnsi" w:hAnsiTheme="majorHAnsi" w:cs="Arial"/>
          <w:sz w:val="24"/>
          <w:szCs w:val="24"/>
        </w:rPr>
        <w:t xml:space="preserve">i javnim preduzećima planirani su iznosu od 6,1 mil. KM i identični su </w:t>
      </w:r>
      <w:r w:rsidRPr="009513BF">
        <w:rPr>
          <w:rFonts w:asciiTheme="majorHAnsi" w:hAnsiTheme="majorHAnsi" w:cs="Arial"/>
          <w:sz w:val="24"/>
          <w:szCs w:val="24"/>
        </w:rPr>
        <w:t xml:space="preserve"> na Budžet</w:t>
      </w:r>
      <w:r w:rsidR="00B404DF">
        <w:rPr>
          <w:rFonts w:asciiTheme="majorHAnsi" w:hAnsiTheme="majorHAnsi" w:cs="Arial"/>
          <w:sz w:val="24"/>
          <w:szCs w:val="24"/>
        </w:rPr>
        <w:t xml:space="preserve"> Federacije BiH za 2016. godinu.</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6155 Kapitalni transferi privatnim preduzećima i poduzetnicima</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Kapitalni transferi privatnim preduzećima i poduzetnicima- Japanski grant- 2KR, </w:t>
      </w:r>
      <w:r w:rsidRPr="009513BF">
        <w:rPr>
          <w:rFonts w:asciiTheme="majorHAnsi" w:hAnsiTheme="majorHAnsi" w:cs="Arial"/>
          <w:sz w:val="24"/>
          <w:szCs w:val="24"/>
          <w:lang w:val="en-US"/>
        </w:rPr>
        <w:t>Prijedlogom odluke o izmjenama i dopunama Budžeta Federacije BiH za 2016. godinu</w:t>
      </w:r>
      <w:r w:rsidRPr="009513BF">
        <w:rPr>
          <w:rFonts w:asciiTheme="majorHAnsi" w:hAnsiTheme="majorHAnsi" w:cs="Arial"/>
          <w:sz w:val="24"/>
          <w:szCs w:val="24"/>
        </w:rPr>
        <w:t xml:space="preserve"> nije planiran.</w:t>
      </w:r>
    </w:p>
    <w:p w:rsidR="009513BF" w:rsidRPr="009513BF" w:rsidRDefault="009539DA" w:rsidP="009513BF">
      <w:pPr>
        <w:spacing w:before="240" w:after="240" w:line="240" w:lineRule="auto"/>
        <w:jc w:val="both"/>
        <w:rPr>
          <w:rFonts w:asciiTheme="majorHAnsi" w:hAnsiTheme="majorHAnsi" w:cs="Arial"/>
          <w:b/>
          <w:sz w:val="24"/>
          <w:szCs w:val="24"/>
        </w:rPr>
      </w:pPr>
      <w:r>
        <w:rPr>
          <w:rFonts w:asciiTheme="majorHAnsi" w:hAnsiTheme="majorHAnsi" w:cs="Arial"/>
          <w:b/>
          <w:sz w:val="24"/>
          <w:szCs w:val="24"/>
        </w:rPr>
        <w:t>6</w:t>
      </w:r>
      <w:r w:rsidR="009513BF" w:rsidRPr="009513BF">
        <w:rPr>
          <w:rFonts w:asciiTheme="majorHAnsi" w:hAnsiTheme="majorHAnsi" w:cs="Arial"/>
          <w:b/>
          <w:sz w:val="24"/>
          <w:szCs w:val="24"/>
        </w:rPr>
        <w:t>.6. IZDACI ZA KAMATE</w:t>
      </w:r>
    </w:p>
    <w:p w:rsidR="009513BF" w:rsidRPr="009513BF" w:rsidRDefault="009513BF" w:rsidP="009513BF">
      <w:p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Izdaci za kamate planirani su u </w:t>
      </w:r>
      <w:r w:rsidRPr="009513BF">
        <w:rPr>
          <w:rFonts w:asciiTheme="majorHAnsi" w:hAnsiTheme="majorHAnsi" w:cs="Arial"/>
          <w:sz w:val="24"/>
          <w:szCs w:val="24"/>
          <w:lang w:val="en-US"/>
        </w:rPr>
        <w:t>Prijedlogu odluke o izmjenama i dopunama Budžeta Federacije BiH za 2016. godinu</w:t>
      </w:r>
      <w:r w:rsidRPr="009513BF">
        <w:rPr>
          <w:rFonts w:asciiTheme="majorHAnsi" w:hAnsiTheme="majorHAnsi" w:cs="Arial"/>
          <w:sz w:val="24"/>
          <w:szCs w:val="24"/>
        </w:rPr>
        <w:t xml:space="preserve"> iznosu od 120,3 mil. KM, što je za 3,0 mil. KM manje u odnosu na sredstva planirana na ovoj poziciji u 2016. godini. </w:t>
      </w:r>
    </w:p>
    <w:p w:rsidR="009513BF" w:rsidRPr="009513BF" w:rsidRDefault="009539DA" w:rsidP="009513BF">
      <w:pPr>
        <w:spacing w:before="240" w:after="240" w:line="240" w:lineRule="auto"/>
        <w:jc w:val="both"/>
        <w:rPr>
          <w:rFonts w:asciiTheme="majorHAnsi" w:hAnsiTheme="majorHAnsi" w:cs="Arial"/>
          <w:b/>
          <w:sz w:val="24"/>
          <w:szCs w:val="24"/>
        </w:rPr>
      </w:pPr>
      <w:r>
        <w:rPr>
          <w:rFonts w:asciiTheme="majorHAnsi" w:hAnsiTheme="majorHAnsi" w:cs="Arial"/>
          <w:b/>
          <w:sz w:val="24"/>
          <w:szCs w:val="24"/>
        </w:rPr>
        <w:t>6</w:t>
      </w:r>
      <w:r w:rsidR="009513BF" w:rsidRPr="00716AB5">
        <w:rPr>
          <w:rFonts w:asciiTheme="majorHAnsi" w:hAnsiTheme="majorHAnsi" w:cs="Arial"/>
          <w:b/>
          <w:sz w:val="24"/>
          <w:szCs w:val="24"/>
        </w:rPr>
        <w:t>.7. IZDACI ZA NABAVKU STALNIH SREDSTAVA</w:t>
      </w:r>
    </w:p>
    <w:p w:rsidR="005E7F90" w:rsidRPr="009513BF" w:rsidRDefault="009513BF" w:rsidP="009513BF">
      <w:p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Izdaci za nabavku stalnih sredstava planirani su u </w:t>
      </w:r>
      <w:r w:rsidRPr="009513BF">
        <w:rPr>
          <w:rFonts w:asciiTheme="majorHAnsi" w:hAnsiTheme="majorHAnsi" w:cs="Arial"/>
          <w:sz w:val="24"/>
          <w:szCs w:val="24"/>
          <w:lang w:val="en-US"/>
        </w:rPr>
        <w:t>Prijedlogu odluke o izmjenama i dopunama Budžeta Federacije BiH za 2016. godinu</w:t>
      </w:r>
      <w:r w:rsidR="00D40FF2">
        <w:rPr>
          <w:rFonts w:asciiTheme="majorHAnsi" w:hAnsiTheme="majorHAnsi" w:cs="Arial"/>
          <w:sz w:val="24"/>
          <w:szCs w:val="24"/>
        </w:rPr>
        <w:t xml:space="preserve"> u iznosu od 29,5</w:t>
      </w:r>
      <w:r w:rsidR="00D03608">
        <w:rPr>
          <w:rFonts w:asciiTheme="majorHAnsi" w:hAnsiTheme="majorHAnsi" w:cs="Arial"/>
          <w:sz w:val="24"/>
          <w:szCs w:val="24"/>
        </w:rPr>
        <w:t xml:space="preserve"> mil. KM što predstavlja smanjenje od 4,4 mil. KM u odnosu na Budžet FBiH 2016.</w:t>
      </w:r>
      <w:r w:rsidRPr="009513BF">
        <w:rPr>
          <w:rFonts w:asciiTheme="majorHAnsi" w:hAnsiTheme="majorHAnsi" w:cs="Arial"/>
          <w:sz w:val="24"/>
          <w:szCs w:val="24"/>
        </w:rPr>
        <w:t xml:space="preserve"> </w:t>
      </w:r>
    </w:p>
    <w:p w:rsidR="009513BF" w:rsidRPr="009513BF" w:rsidRDefault="009539DA" w:rsidP="009513BF">
      <w:pPr>
        <w:spacing w:before="240" w:after="240" w:line="240" w:lineRule="auto"/>
        <w:jc w:val="both"/>
        <w:rPr>
          <w:rFonts w:asciiTheme="majorHAnsi" w:hAnsiTheme="majorHAnsi" w:cs="Arial"/>
          <w:b/>
          <w:sz w:val="24"/>
          <w:szCs w:val="24"/>
        </w:rPr>
      </w:pPr>
      <w:r>
        <w:rPr>
          <w:rFonts w:asciiTheme="majorHAnsi" w:hAnsiTheme="majorHAnsi" w:cs="Arial"/>
          <w:b/>
          <w:sz w:val="24"/>
          <w:szCs w:val="24"/>
        </w:rPr>
        <w:t>6</w:t>
      </w:r>
      <w:r w:rsidR="009513BF" w:rsidRPr="009513BF">
        <w:rPr>
          <w:rFonts w:asciiTheme="majorHAnsi" w:hAnsiTheme="majorHAnsi" w:cs="Arial"/>
          <w:b/>
          <w:sz w:val="24"/>
          <w:szCs w:val="24"/>
        </w:rPr>
        <w:t>.8. IZDACI ZA FINANSIJSKU IMOVINU</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8225 – Izdaci za kupovinu dionica privatnih preduzeća i učešće u zajedničkim ulaganjima</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Na poziciji izdaci za kupovinu dionica privatnih preduzeća i učešće u zajedničkim ulaganjima planiran je iznos od 6,2 mil. KM.</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8226 – Ostala domaća pozajmljivanja</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Ostala domaća pozajmljivanja planirana su u iznosu od 10,4 mil. KM i to za:</w:t>
      </w:r>
    </w:p>
    <w:p w:rsidR="009513BF" w:rsidRPr="009513BF" w:rsidRDefault="009513BF" w:rsidP="009513BF">
      <w:pPr>
        <w:pStyle w:val="ListParagraph"/>
        <w:numPr>
          <w:ilvl w:val="0"/>
          <w:numId w:val="19"/>
        </w:num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Projekte Federalnog ministarstva energije, rudarstva i industrije i Federalnog ministarstva razvoja, poduzetništva i obrta koji se realiziju preko Union banke;</w:t>
      </w:r>
    </w:p>
    <w:p w:rsidR="009513BF" w:rsidRPr="009513BF" w:rsidRDefault="009513BF" w:rsidP="009513BF">
      <w:pPr>
        <w:pStyle w:val="ListParagraph"/>
        <w:numPr>
          <w:ilvl w:val="0"/>
          <w:numId w:val="19"/>
        </w:num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Subordinirani kredit Union banke d.d. Sarajevo kojim Vlada Federacije BiH ima namjeru ojačati Union banku d.d. Sarajevo, te joj na taj način omogućiti otvaranje dodatne povoljne kreditne linije za privredne subjekte i fizička lica;</w:t>
      </w:r>
    </w:p>
    <w:p w:rsidR="009513BF" w:rsidRDefault="009513BF" w:rsidP="009513BF">
      <w:pPr>
        <w:pStyle w:val="ListParagraph"/>
        <w:numPr>
          <w:ilvl w:val="0"/>
          <w:numId w:val="19"/>
        </w:num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Trajni revolving fond u iznosu od 8,4 mil. KM.</w:t>
      </w:r>
    </w:p>
    <w:p w:rsidR="003C1A08" w:rsidRPr="003C1A08" w:rsidRDefault="003C1A08" w:rsidP="003C1A08">
      <w:pPr>
        <w:spacing w:before="120" w:after="240" w:line="240" w:lineRule="auto"/>
        <w:jc w:val="both"/>
        <w:rPr>
          <w:rFonts w:asciiTheme="majorHAnsi" w:hAnsiTheme="majorHAnsi" w:cs="Arial"/>
          <w:sz w:val="24"/>
          <w:szCs w:val="24"/>
        </w:rPr>
      </w:pPr>
    </w:p>
    <w:p w:rsidR="009513BF" w:rsidRPr="009513BF" w:rsidRDefault="009539DA" w:rsidP="009513BF">
      <w:pPr>
        <w:spacing w:before="120" w:after="240" w:line="240" w:lineRule="auto"/>
        <w:jc w:val="both"/>
        <w:rPr>
          <w:rFonts w:asciiTheme="majorHAnsi" w:hAnsiTheme="majorHAnsi" w:cs="Arial"/>
          <w:sz w:val="24"/>
          <w:szCs w:val="24"/>
        </w:rPr>
      </w:pPr>
      <w:r>
        <w:rPr>
          <w:rFonts w:asciiTheme="majorHAnsi" w:hAnsiTheme="majorHAnsi" w:cs="Arial"/>
          <w:b/>
          <w:sz w:val="24"/>
          <w:szCs w:val="24"/>
        </w:rPr>
        <w:lastRenderedPageBreak/>
        <w:t>6</w:t>
      </w:r>
      <w:r w:rsidR="009513BF" w:rsidRPr="009513BF">
        <w:rPr>
          <w:rFonts w:asciiTheme="majorHAnsi" w:hAnsiTheme="majorHAnsi" w:cs="Arial"/>
          <w:b/>
          <w:sz w:val="24"/>
          <w:szCs w:val="24"/>
        </w:rPr>
        <w:t xml:space="preserve">.9. IZDACI ZA OTPLATE DUGOVA </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8231 – Otplate dugova primljenih kroz Državu</w:t>
      </w:r>
    </w:p>
    <w:p w:rsidR="00A03F7B"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Otplate dugova primljenih kroz Državu iznose 404.8 mil. KM.</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8232 – Vanjske otplate</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Vanjske otpla</w:t>
      </w:r>
      <w:r w:rsidR="00ED09B6">
        <w:rPr>
          <w:rFonts w:asciiTheme="majorHAnsi" w:hAnsiTheme="majorHAnsi" w:cs="Arial"/>
          <w:sz w:val="24"/>
          <w:szCs w:val="24"/>
        </w:rPr>
        <w:t>te planirane su u iznosu od 4,0</w:t>
      </w:r>
      <w:r w:rsidR="00101257">
        <w:rPr>
          <w:rFonts w:asciiTheme="majorHAnsi" w:hAnsiTheme="majorHAnsi" w:cs="Arial"/>
          <w:sz w:val="24"/>
          <w:szCs w:val="24"/>
        </w:rPr>
        <w:t xml:space="preserve"> </w:t>
      </w:r>
      <w:r w:rsidRPr="009513BF">
        <w:rPr>
          <w:rFonts w:asciiTheme="majorHAnsi" w:hAnsiTheme="majorHAnsi" w:cs="Arial"/>
          <w:sz w:val="24"/>
          <w:szCs w:val="24"/>
        </w:rPr>
        <w:t>mil. KM i na nivou su sredstava planiranih u Budžetom Federacije BiH za 2016. godinu.</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8233 – Otplate domaćeg pozajmljivanja</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Otplate domaćeg pozajmljivanja planirane su u iznosu od 340,0 mil. KM i manji su za 60,0 mil. KM u odnosu na sredstva planirana Budžetom Federacije BiH za 2016. godinu. </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8234 – Otplate unutrašnjeg duga</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Otplate unutrašnjeg duga iznose 163,2 mil. KM  i u odnosu na Budžet Federacije BiH za 2016. godinu manje su za 1,4 mil. KM.</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8235 – Otplate duga po izdatim garancijama</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Otplate duga po izdatim garancijama iznose 0,1 mil. KM što je za 1,4 mil. KM </w:t>
      </w:r>
      <w:r w:rsidR="00ED09B6">
        <w:rPr>
          <w:rFonts w:asciiTheme="majorHAnsi" w:hAnsiTheme="majorHAnsi" w:cs="Arial"/>
          <w:sz w:val="24"/>
          <w:szCs w:val="24"/>
        </w:rPr>
        <w:t xml:space="preserve">manje </w:t>
      </w:r>
      <w:r w:rsidRPr="009513BF">
        <w:rPr>
          <w:rFonts w:asciiTheme="majorHAnsi" w:hAnsiTheme="majorHAnsi" w:cs="Arial"/>
          <w:sz w:val="24"/>
          <w:szCs w:val="24"/>
        </w:rPr>
        <w:t>odnosu na Budžet Federacije BiH za 2016. godinu.</w:t>
      </w:r>
    </w:p>
    <w:p w:rsidR="009513BF" w:rsidRDefault="009513BF" w:rsidP="009513BF">
      <w:pPr>
        <w:spacing w:before="120" w:after="240" w:line="240" w:lineRule="auto"/>
        <w:jc w:val="both"/>
        <w:rPr>
          <w:rFonts w:ascii="Arial" w:hAnsi="Arial" w:cs="Arial"/>
          <w:sz w:val="24"/>
          <w:szCs w:val="24"/>
        </w:rPr>
      </w:pPr>
    </w:p>
    <w:p w:rsidR="00A03F7B" w:rsidRDefault="00A03F7B" w:rsidP="009513BF">
      <w:pPr>
        <w:spacing w:before="120" w:after="240" w:line="240" w:lineRule="auto"/>
        <w:jc w:val="both"/>
        <w:rPr>
          <w:rFonts w:ascii="Arial" w:hAnsi="Arial" w:cs="Arial"/>
          <w:sz w:val="24"/>
          <w:szCs w:val="24"/>
        </w:rPr>
      </w:pPr>
    </w:p>
    <w:p w:rsidR="00A03F7B" w:rsidRDefault="00A03F7B" w:rsidP="009513BF">
      <w:pPr>
        <w:spacing w:before="120" w:after="240" w:line="240" w:lineRule="auto"/>
        <w:jc w:val="both"/>
        <w:rPr>
          <w:rFonts w:ascii="Arial" w:hAnsi="Arial" w:cs="Arial"/>
          <w:sz w:val="24"/>
          <w:szCs w:val="24"/>
        </w:rPr>
      </w:pPr>
    </w:p>
    <w:p w:rsidR="00A03F7B" w:rsidRDefault="00A03F7B" w:rsidP="009513BF">
      <w:pPr>
        <w:spacing w:before="120" w:after="240" w:line="240" w:lineRule="auto"/>
        <w:jc w:val="both"/>
        <w:rPr>
          <w:rFonts w:ascii="Arial" w:hAnsi="Arial" w:cs="Arial"/>
          <w:sz w:val="24"/>
          <w:szCs w:val="24"/>
        </w:rPr>
      </w:pPr>
    </w:p>
    <w:p w:rsidR="00A03F7B" w:rsidRDefault="00A03F7B" w:rsidP="009513BF">
      <w:pPr>
        <w:spacing w:before="120" w:after="240" w:line="240" w:lineRule="auto"/>
        <w:jc w:val="both"/>
        <w:rPr>
          <w:rFonts w:ascii="Arial" w:hAnsi="Arial" w:cs="Arial"/>
          <w:sz w:val="24"/>
          <w:szCs w:val="24"/>
        </w:rPr>
      </w:pPr>
    </w:p>
    <w:p w:rsidR="00A03F7B" w:rsidRDefault="00A03F7B" w:rsidP="009513BF">
      <w:pPr>
        <w:spacing w:before="120" w:after="240" w:line="240" w:lineRule="auto"/>
        <w:jc w:val="both"/>
        <w:rPr>
          <w:rFonts w:ascii="Arial" w:hAnsi="Arial" w:cs="Arial"/>
          <w:sz w:val="24"/>
          <w:szCs w:val="24"/>
        </w:rPr>
      </w:pPr>
    </w:p>
    <w:p w:rsidR="00A03F7B" w:rsidRDefault="00A03F7B" w:rsidP="009513BF">
      <w:pPr>
        <w:spacing w:before="120" w:after="240" w:line="240" w:lineRule="auto"/>
        <w:jc w:val="both"/>
        <w:rPr>
          <w:rFonts w:ascii="Arial" w:hAnsi="Arial" w:cs="Arial"/>
          <w:sz w:val="24"/>
          <w:szCs w:val="24"/>
        </w:rPr>
      </w:pPr>
    </w:p>
    <w:p w:rsidR="00A03F7B" w:rsidRDefault="00A03F7B" w:rsidP="009513BF">
      <w:pPr>
        <w:spacing w:before="120" w:after="240" w:line="240" w:lineRule="auto"/>
        <w:jc w:val="both"/>
        <w:rPr>
          <w:rFonts w:ascii="Arial" w:hAnsi="Arial" w:cs="Arial"/>
          <w:sz w:val="24"/>
          <w:szCs w:val="24"/>
        </w:rPr>
      </w:pPr>
    </w:p>
    <w:p w:rsidR="00A03F7B" w:rsidRDefault="00A03F7B" w:rsidP="009513BF">
      <w:pPr>
        <w:spacing w:before="120" w:after="240" w:line="240" w:lineRule="auto"/>
        <w:jc w:val="both"/>
        <w:rPr>
          <w:rFonts w:ascii="Arial" w:hAnsi="Arial" w:cs="Arial"/>
          <w:sz w:val="24"/>
          <w:szCs w:val="24"/>
        </w:rPr>
      </w:pPr>
    </w:p>
    <w:p w:rsidR="00A03F7B" w:rsidRDefault="00A03F7B" w:rsidP="009513BF">
      <w:pPr>
        <w:spacing w:before="120" w:after="240" w:line="240" w:lineRule="auto"/>
        <w:jc w:val="both"/>
        <w:rPr>
          <w:rFonts w:ascii="Arial" w:hAnsi="Arial" w:cs="Arial"/>
          <w:sz w:val="24"/>
          <w:szCs w:val="24"/>
        </w:rPr>
      </w:pPr>
    </w:p>
    <w:p w:rsidR="00A03F7B" w:rsidRDefault="00A03F7B" w:rsidP="009513BF">
      <w:pPr>
        <w:spacing w:before="120" w:after="240" w:line="240" w:lineRule="auto"/>
        <w:jc w:val="both"/>
        <w:rPr>
          <w:rFonts w:ascii="Arial" w:hAnsi="Arial" w:cs="Arial"/>
          <w:sz w:val="24"/>
          <w:szCs w:val="24"/>
        </w:rPr>
      </w:pPr>
    </w:p>
    <w:p w:rsidR="00A03F7B" w:rsidRDefault="00A03F7B" w:rsidP="009513BF">
      <w:pPr>
        <w:spacing w:before="120" w:after="240" w:line="240" w:lineRule="auto"/>
        <w:jc w:val="both"/>
        <w:rPr>
          <w:rFonts w:ascii="Arial" w:hAnsi="Arial" w:cs="Arial"/>
          <w:sz w:val="24"/>
          <w:szCs w:val="24"/>
        </w:rPr>
      </w:pPr>
    </w:p>
    <w:p w:rsidR="009513BF" w:rsidRPr="009513BF" w:rsidRDefault="009513BF" w:rsidP="009513BF">
      <w:pPr>
        <w:jc w:val="both"/>
        <w:rPr>
          <w:rFonts w:asciiTheme="majorHAnsi" w:hAnsiTheme="majorHAnsi" w:cs="Arial"/>
          <w:sz w:val="24"/>
          <w:szCs w:val="24"/>
          <w:lang w:val="en-US"/>
        </w:rPr>
      </w:pPr>
    </w:p>
    <w:sectPr w:rsidR="009513BF" w:rsidRPr="009513BF" w:rsidSect="00B364B6">
      <w:footerReference w:type="default" r:id="rId16"/>
      <w:pgSz w:w="12240" w:h="15840" w:code="1"/>
      <w:pgMar w:top="1440" w:right="1440" w:bottom="1440" w:left="1440"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DAE" w:rsidRDefault="00CE7DAE" w:rsidP="00FA0DE8">
      <w:pPr>
        <w:spacing w:after="0" w:line="240" w:lineRule="auto"/>
      </w:pPr>
      <w:r>
        <w:separator/>
      </w:r>
    </w:p>
  </w:endnote>
  <w:endnote w:type="continuationSeparator" w:id="0">
    <w:p w:rsidR="00CE7DAE" w:rsidRDefault="00CE7DAE" w:rsidP="00FA0D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C2D69B" w:themeColor="accent3" w:themeTint="99"/>
      </w:tblBorders>
      <w:tblLook w:val="04A0" w:firstRow="1" w:lastRow="0" w:firstColumn="1" w:lastColumn="0" w:noHBand="0" w:noVBand="1"/>
    </w:tblPr>
    <w:tblGrid>
      <w:gridCol w:w="7864"/>
      <w:gridCol w:w="1496"/>
    </w:tblGrid>
    <w:tr w:rsidR="0059403E" w:rsidRPr="007B681A" w:rsidTr="0059403E">
      <w:trPr>
        <w:trHeight w:val="360"/>
      </w:trPr>
      <w:tc>
        <w:tcPr>
          <w:tcW w:w="4201" w:type="pct"/>
          <w:vAlign w:val="center"/>
        </w:tcPr>
        <w:p w:rsidR="0059403E" w:rsidRPr="00344311" w:rsidRDefault="0059403E" w:rsidP="00344311">
          <w:pPr>
            <w:pStyle w:val="Footer"/>
            <w:rPr>
              <w:rFonts w:asciiTheme="majorHAnsi" w:hAnsiTheme="majorHAnsi" w:cs="Arial"/>
            </w:rPr>
          </w:pPr>
          <w:r w:rsidRPr="00344311">
            <w:rPr>
              <w:rFonts w:asciiTheme="majorHAnsi" w:hAnsiTheme="majorHAnsi" w:cs="Arial"/>
              <w:sz w:val="20"/>
            </w:rPr>
            <w:t>Obrazloženje Prijedloga odluke o izmjenama i dopunama Budžeta FBiH za 201</w:t>
          </w:r>
          <w:r w:rsidR="00344311">
            <w:rPr>
              <w:rFonts w:asciiTheme="majorHAnsi" w:hAnsiTheme="majorHAnsi" w:cs="Arial"/>
              <w:sz w:val="20"/>
            </w:rPr>
            <w:t>6</w:t>
          </w:r>
          <w:r w:rsidRPr="00344311">
            <w:rPr>
              <w:rFonts w:asciiTheme="majorHAnsi" w:hAnsiTheme="majorHAnsi" w:cs="Arial"/>
              <w:sz w:val="20"/>
            </w:rPr>
            <w:t>. godinu</w:t>
          </w:r>
        </w:p>
      </w:tc>
      <w:tc>
        <w:tcPr>
          <w:tcW w:w="799" w:type="pct"/>
          <w:shd w:val="clear" w:color="auto" w:fill="C2D69B" w:themeFill="accent3" w:themeFillTint="99"/>
        </w:tcPr>
        <w:p w:rsidR="0059403E" w:rsidRPr="00344311" w:rsidRDefault="0059403E">
          <w:pPr>
            <w:pStyle w:val="Footer"/>
            <w:jc w:val="right"/>
            <w:rPr>
              <w:rFonts w:asciiTheme="majorHAnsi" w:hAnsiTheme="majorHAnsi"/>
              <w:color w:val="FFFFFF" w:themeColor="background1"/>
              <w:sz w:val="24"/>
              <w:szCs w:val="24"/>
            </w:rPr>
          </w:pPr>
          <w:r w:rsidRPr="00344311">
            <w:rPr>
              <w:rFonts w:asciiTheme="majorHAnsi" w:hAnsiTheme="majorHAnsi"/>
              <w:sz w:val="24"/>
              <w:szCs w:val="24"/>
            </w:rPr>
            <w:fldChar w:fldCharType="begin"/>
          </w:r>
          <w:r w:rsidRPr="00344311">
            <w:rPr>
              <w:rFonts w:asciiTheme="majorHAnsi" w:hAnsiTheme="majorHAnsi"/>
              <w:sz w:val="24"/>
              <w:szCs w:val="24"/>
            </w:rPr>
            <w:instrText xml:space="preserve"> PAGE    \* MERGEFORMAT </w:instrText>
          </w:r>
          <w:r w:rsidRPr="00344311">
            <w:rPr>
              <w:rFonts w:asciiTheme="majorHAnsi" w:hAnsiTheme="majorHAnsi"/>
              <w:sz w:val="24"/>
              <w:szCs w:val="24"/>
            </w:rPr>
            <w:fldChar w:fldCharType="separate"/>
          </w:r>
          <w:r w:rsidR="00455CBE">
            <w:rPr>
              <w:rFonts w:asciiTheme="majorHAnsi" w:hAnsiTheme="majorHAnsi"/>
              <w:sz w:val="24"/>
              <w:szCs w:val="24"/>
            </w:rPr>
            <w:t>20</w:t>
          </w:r>
          <w:r w:rsidRPr="00344311">
            <w:rPr>
              <w:rFonts w:asciiTheme="majorHAnsi" w:hAnsiTheme="majorHAnsi"/>
              <w:sz w:val="24"/>
              <w:szCs w:val="24"/>
            </w:rPr>
            <w:fldChar w:fldCharType="end"/>
          </w:r>
        </w:p>
      </w:tc>
    </w:tr>
  </w:tbl>
  <w:p w:rsidR="0059403E" w:rsidRDefault="005940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DAE" w:rsidRDefault="00CE7DAE" w:rsidP="00FA0DE8">
      <w:pPr>
        <w:spacing w:after="0" w:line="240" w:lineRule="auto"/>
      </w:pPr>
      <w:r>
        <w:separator/>
      </w:r>
    </w:p>
  </w:footnote>
  <w:footnote w:type="continuationSeparator" w:id="0">
    <w:p w:rsidR="00CE7DAE" w:rsidRDefault="00CE7DAE" w:rsidP="00FA0DE8">
      <w:pPr>
        <w:spacing w:after="0" w:line="240" w:lineRule="auto"/>
      </w:pPr>
      <w:r>
        <w:continuationSeparator/>
      </w:r>
    </w:p>
  </w:footnote>
  <w:footnote w:id="1">
    <w:p w:rsidR="00231623" w:rsidRPr="00231623" w:rsidRDefault="00231623" w:rsidP="00231623">
      <w:pPr>
        <w:autoSpaceDE w:val="0"/>
        <w:autoSpaceDN w:val="0"/>
        <w:adjustRightInd w:val="0"/>
        <w:spacing w:after="0" w:line="240" w:lineRule="auto"/>
        <w:jc w:val="both"/>
        <w:rPr>
          <w:rFonts w:asciiTheme="majorHAnsi" w:hAnsiTheme="majorHAnsi" w:cs="Arial"/>
          <w:sz w:val="24"/>
          <w:szCs w:val="24"/>
        </w:rPr>
      </w:pPr>
      <w:r>
        <w:rPr>
          <w:rStyle w:val="FootnoteReference"/>
        </w:rPr>
        <w:footnoteRef/>
      </w:r>
      <w:r>
        <w:t xml:space="preserve"> </w:t>
      </w:r>
      <w:r w:rsidRPr="00C334D4">
        <w:rPr>
          <w:sz w:val="18"/>
        </w:rPr>
        <w:t>Direkcija za ekonomsko planiranje BiH, „DOB – Makroekonomske pro</w:t>
      </w:r>
      <w:r>
        <w:rPr>
          <w:sz w:val="18"/>
        </w:rPr>
        <w:t>jekcije 2017 – 2019“, mart 2016</w:t>
      </w:r>
      <w:r w:rsidRPr="00C334D4">
        <w:rPr>
          <w:sz w:val="18"/>
        </w:rPr>
        <w:t>. godine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81DEADAA"/>
    <w:lvl w:ilvl="0">
      <w:start w:val="1"/>
      <w:numFmt w:val="bullet"/>
      <w:pStyle w:val="ListBullet"/>
      <w:lvlText w:val=""/>
      <w:lvlJc w:val="left"/>
      <w:pPr>
        <w:tabs>
          <w:tab w:val="num" w:pos="720"/>
        </w:tabs>
        <w:ind w:left="720" w:hanging="720"/>
      </w:pPr>
      <w:rPr>
        <w:rFonts w:ascii="Symbol" w:hAnsi="Symbol" w:hint="default"/>
      </w:rPr>
    </w:lvl>
  </w:abstractNum>
  <w:abstractNum w:abstractNumId="1">
    <w:nsid w:val="03493119"/>
    <w:multiLevelType w:val="hybridMultilevel"/>
    <w:tmpl w:val="88CA1E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8959E0"/>
    <w:multiLevelType w:val="hybridMultilevel"/>
    <w:tmpl w:val="78E2D0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892D4B"/>
    <w:multiLevelType w:val="hybridMultilevel"/>
    <w:tmpl w:val="849238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A31C7C"/>
    <w:multiLevelType w:val="hybridMultilevel"/>
    <w:tmpl w:val="7D583D8A"/>
    <w:lvl w:ilvl="0" w:tplc="04090005">
      <w:start w:val="1"/>
      <w:numFmt w:val="bullet"/>
      <w:lvlText w:val=""/>
      <w:lvlJc w:val="left"/>
      <w:pPr>
        <w:ind w:left="776" w:hanging="360"/>
      </w:pPr>
      <w:rPr>
        <w:rFonts w:ascii="Wingdings" w:hAnsi="Wingdings" w:hint="default"/>
      </w:rPr>
    </w:lvl>
    <w:lvl w:ilvl="1" w:tplc="04090005">
      <w:start w:val="1"/>
      <w:numFmt w:val="bullet"/>
      <w:lvlText w:val=""/>
      <w:lvlJc w:val="left"/>
      <w:pPr>
        <w:ind w:left="1496" w:hanging="360"/>
      </w:pPr>
      <w:rPr>
        <w:rFonts w:ascii="Wingdings" w:hAnsi="Wingdings"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
    <w:nsid w:val="2A62267A"/>
    <w:multiLevelType w:val="hybridMultilevel"/>
    <w:tmpl w:val="AB90445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B896FCB"/>
    <w:multiLevelType w:val="hybridMultilevel"/>
    <w:tmpl w:val="1B3640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766517"/>
    <w:multiLevelType w:val="hybridMultilevel"/>
    <w:tmpl w:val="FFF2A0FC"/>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9F7419"/>
    <w:multiLevelType w:val="hybridMultilevel"/>
    <w:tmpl w:val="571C43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6E2DDA"/>
    <w:multiLevelType w:val="hybridMultilevel"/>
    <w:tmpl w:val="6B0A00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3E2EE0"/>
    <w:multiLevelType w:val="hybridMultilevel"/>
    <w:tmpl w:val="1C2628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9B7F68"/>
    <w:multiLevelType w:val="hybridMultilevel"/>
    <w:tmpl w:val="3F4EED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0E5375"/>
    <w:multiLevelType w:val="hybridMultilevel"/>
    <w:tmpl w:val="F81AB7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980020"/>
    <w:multiLevelType w:val="hybridMultilevel"/>
    <w:tmpl w:val="09428CD8"/>
    <w:lvl w:ilvl="0" w:tplc="04090005">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nsid w:val="5E4955F5"/>
    <w:multiLevelType w:val="hybridMultilevel"/>
    <w:tmpl w:val="99CEDCFE"/>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B4729C"/>
    <w:multiLevelType w:val="hybridMultilevel"/>
    <w:tmpl w:val="2116C2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8F66942"/>
    <w:multiLevelType w:val="hybridMultilevel"/>
    <w:tmpl w:val="CD88634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AF0B0E"/>
    <w:multiLevelType w:val="hybridMultilevel"/>
    <w:tmpl w:val="974EF3EE"/>
    <w:lvl w:ilvl="0" w:tplc="141A0005">
      <w:start w:val="1"/>
      <w:numFmt w:val="bullet"/>
      <w:lvlText w:val=""/>
      <w:lvlJc w:val="left"/>
      <w:pPr>
        <w:ind w:left="720" w:hanging="360"/>
      </w:pPr>
      <w:rPr>
        <w:rFonts w:ascii="Wingdings" w:hAnsi="Wingdings" w:hint="default"/>
      </w:rPr>
    </w:lvl>
    <w:lvl w:ilvl="1" w:tplc="141A0003">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8">
    <w:nsid w:val="74C45871"/>
    <w:multiLevelType w:val="hybridMultilevel"/>
    <w:tmpl w:val="5CEC3E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5227969"/>
    <w:multiLevelType w:val="hybridMultilevel"/>
    <w:tmpl w:val="2946E8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7E1C70"/>
    <w:multiLevelType w:val="multilevel"/>
    <w:tmpl w:val="74D8F3F4"/>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78C15CC6"/>
    <w:multiLevelType w:val="hybridMultilevel"/>
    <w:tmpl w:val="37BA6CE6"/>
    <w:lvl w:ilvl="0" w:tplc="618492B8">
      <w:numFmt w:val="bullet"/>
      <w:lvlText w:val="-"/>
      <w:lvlJc w:val="left"/>
      <w:pPr>
        <w:ind w:left="720" w:hanging="360"/>
      </w:pPr>
      <w:rPr>
        <w:rFonts w:ascii="Arial" w:eastAsiaTheme="minorHAnsi" w:hAnsi="Arial" w:cs="Aria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2">
    <w:nsid w:val="7B7C0699"/>
    <w:multiLevelType w:val="hybridMultilevel"/>
    <w:tmpl w:val="738C2E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D9B768E"/>
    <w:multiLevelType w:val="hybridMultilevel"/>
    <w:tmpl w:val="0CC668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18"/>
  </w:num>
  <w:num w:numId="4">
    <w:abstractNumId w:val="6"/>
  </w:num>
  <w:num w:numId="5">
    <w:abstractNumId w:val="23"/>
  </w:num>
  <w:num w:numId="6">
    <w:abstractNumId w:val="9"/>
  </w:num>
  <w:num w:numId="7">
    <w:abstractNumId w:val="3"/>
  </w:num>
  <w:num w:numId="8">
    <w:abstractNumId w:val="8"/>
  </w:num>
  <w:num w:numId="9">
    <w:abstractNumId w:val="12"/>
  </w:num>
  <w:num w:numId="10">
    <w:abstractNumId w:val="2"/>
  </w:num>
  <w:num w:numId="11">
    <w:abstractNumId w:val="11"/>
  </w:num>
  <w:num w:numId="12">
    <w:abstractNumId w:val="19"/>
  </w:num>
  <w:num w:numId="13">
    <w:abstractNumId w:val="16"/>
  </w:num>
  <w:num w:numId="14">
    <w:abstractNumId w:val="22"/>
  </w:num>
  <w:num w:numId="15">
    <w:abstractNumId w:val="14"/>
  </w:num>
  <w:num w:numId="16">
    <w:abstractNumId w:val="7"/>
  </w:num>
  <w:num w:numId="17">
    <w:abstractNumId w:val="1"/>
  </w:num>
  <w:num w:numId="18">
    <w:abstractNumId w:val="5"/>
  </w:num>
  <w:num w:numId="19">
    <w:abstractNumId w:val="4"/>
  </w:num>
  <w:num w:numId="20">
    <w:abstractNumId w:val="15"/>
  </w:num>
  <w:num w:numId="21">
    <w:abstractNumId w:val="10"/>
  </w:num>
  <w:num w:numId="22">
    <w:abstractNumId w:val="20"/>
  </w:num>
  <w:num w:numId="23">
    <w:abstractNumId w:val="17"/>
  </w:num>
  <w:num w:numId="24">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0BA"/>
    <w:rsid w:val="000005A8"/>
    <w:rsid w:val="00000BED"/>
    <w:rsid w:val="000010BD"/>
    <w:rsid w:val="00001169"/>
    <w:rsid w:val="00002B6F"/>
    <w:rsid w:val="00005620"/>
    <w:rsid w:val="00005B70"/>
    <w:rsid w:val="000078F5"/>
    <w:rsid w:val="00012256"/>
    <w:rsid w:val="00015797"/>
    <w:rsid w:val="0001601C"/>
    <w:rsid w:val="00016152"/>
    <w:rsid w:val="00020FA4"/>
    <w:rsid w:val="000215DC"/>
    <w:rsid w:val="000218EA"/>
    <w:rsid w:val="00021C9A"/>
    <w:rsid w:val="00022506"/>
    <w:rsid w:val="00023073"/>
    <w:rsid w:val="00024790"/>
    <w:rsid w:val="00025679"/>
    <w:rsid w:val="000265BB"/>
    <w:rsid w:val="000268D8"/>
    <w:rsid w:val="000317B9"/>
    <w:rsid w:val="00032456"/>
    <w:rsid w:val="000347D0"/>
    <w:rsid w:val="00035C72"/>
    <w:rsid w:val="00036357"/>
    <w:rsid w:val="00036D8D"/>
    <w:rsid w:val="0004101B"/>
    <w:rsid w:val="00041311"/>
    <w:rsid w:val="00041C0B"/>
    <w:rsid w:val="00043036"/>
    <w:rsid w:val="00043353"/>
    <w:rsid w:val="000440D5"/>
    <w:rsid w:val="000447B8"/>
    <w:rsid w:val="00044859"/>
    <w:rsid w:val="00044C8D"/>
    <w:rsid w:val="000500BA"/>
    <w:rsid w:val="00051F8F"/>
    <w:rsid w:val="0005291B"/>
    <w:rsid w:val="0005292C"/>
    <w:rsid w:val="00052B68"/>
    <w:rsid w:val="00056C7D"/>
    <w:rsid w:val="00057159"/>
    <w:rsid w:val="000605D4"/>
    <w:rsid w:val="000632DF"/>
    <w:rsid w:val="00063754"/>
    <w:rsid w:val="00063C4A"/>
    <w:rsid w:val="0006444C"/>
    <w:rsid w:val="0006462C"/>
    <w:rsid w:val="00066EDC"/>
    <w:rsid w:val="00066F26"/>
    <w:rsid w:val="000676B7"/>
    <w:rsid w:val="00067B81"/>
    <w:rsid w:val="0007009E"/>
    <w:rsid w:val="00070FB6"/>
    <w:rsid w:val="00071D03"/>
    <w:rsid w:val="00072288"/>
    <w:rsid w:val="00072D71"/>
    <w:rsid w:val="00073FDC"/>
    <w:rsid w:val="0007493D"/>
    <w:rsid w:val="000757DA"/>
    <w:rsid w:val="00075E07"/>
    <w:rsid w:val="00076D5D"/>
    <w:rsid w:val="000774E5"/>
    <w:rsid w:val="0007750B"/>
    <w:rsid w:val="00077A6D"/>
    <w:rsid w:val="00077EE9"/>
    <w:rsid w:val="00081EFB"/>
    <w:rsid w:val="0008229A"/>
    <w:rsid w:val="00083735"/>
    <w:rsid w:val="00083C59"/>
    <w:rsid w:val="00083D92"/>
    <w:rsid w:val="00084717"/>
    <w:rsid w:val="000905EC"/>
    <w:rsid w:val="00091559"/>
    <w:rsid w:val="000930C3"/>
    <w:rsid w:val="000943B3"/>
    <w:rsid w:val="00094C3E"/>
    <w:rsid w:val="0009529F"/>
    <w:rsid w:val="000972E9"/>
    <w:rsid w:val="00097EA0"/>
    <w:rsid w:val="000A0818"/>
    <w:rsid w:val="000A1B5A"/>
    <w:rsid w:val="000A30B1"/>
    <w:rsid w:val="000A30F9"/>
    <w:rsid w:val="000A76A1"/>
    <w:rsid w:val="000A7715"/>
    <w:rsid w:val="000A7A6A"/>
    <w:rsid w:val="000B023A"/>
    <w:rsid w:val="000B1398"/>
    <w:rsid w:val="000B14F3"/>
    <w:rsid w:val="000B1833"/>
    <w:rsid w:val="000B236C"/>
    <w:rsid w:val="000B2D9F"/>
    <w:rsid w:val="000B432A"/>
    <w:rsid w:val="000B484C"/>
    <w:rsid w:val="000B6007"/>
    <w:rsid w:val="000B724D"/>
    <w:rsid w:val="000C0D54"/>
    <w:rsid w:val="000C0FB8"/>
    <w:rsid w:val="000C1995"/>
    <w:rsid w:val="000C3349"/>
    <w:rsid w:val="000C49BE"/>
    <w:rsid w:val="000C4F88"/>
    <w:rsid w:val="000C63B2"/>
    <w:rsid w:val="000C64B6"/>
    <w:rsid w:val="000C7989"/>
    <w:rsid w:val="000D0234"/>
    <w:rsid w:val="000D0594"/>
    <w:rsid w:val="000D1D80"/>
    <w:rsid w:val="000D34A0"/>
    <w:rsid w:val="000D3E63"/>
    <w:rsid w:val="000D56DF"/>
    <w:rsid w:val="000D59EA"/>
    <w:rsid w:val="000D6325"/>
    <w:rsid w:val="000E0046"/>
    <w:rsid w:val="000E0F0C"/>
    <w:rsid w:val="000E432B"/>
    <w:rsid w:val="000E6543"/>
    <w:rsid w:val="000E6CE2"/>
    <w:rsid w:val="000E74E7"/>
    <w:rsid w:val="000F0780"/>
    <w:rsid w:val="000F0F73"/>
    <w:rsid w:val="000F2857"/>
    <w:rsid w:val="000F4217"/>
    <w:rsid w:val="000F5238"/>
    <w:rsid w:val="000F5597"/>
    <w:rsid w:val="000F5A2D"/>
    <w:rsid w:val="000F66CA"/>
    <w:rsid w:val="00100CB0"/>
    <w:rsid w:val="00100D79"/>
    <w:rsid w:val="00100DAC"/>
    <w:rsid w:val="00101257"/>
    <w:rsid w:val="00104DC3"/>
    <w:rsid w:val="00106268"/>
    <w:rsid w:val="001074C5"/>
    <w:rsid w:val="0010754F"/>
    <w:rsid w:val="0011005D"/>
    <w:rsid w:val="00110227"/>
    <w:rsid w:val="00110DBF"/>
    <w:rsid w:val="00111319"/>
    <w:rsid w:val="00111380"/>
    <w:rsid w:val="00111462"/>
    <w:rsid w:val="001147DE"/>
    <w:rsid w:val="0011511B"/>
    <w:rsid w:val="00116777"/>
    <w:rsid w:val="00121025"/>
    <w:rsid w:val="00121852"/>
    <w:rsid w:val="00121A66"/>
    <w:rsid w:val="00124B6E"/>
    <w:rsid w:val="00125C24"/>
    <w:rsid w:val="00126652"/>
    <w:rsid w:val="00126ECB"/>
    <w:rsid w:val="0013074B"/>
    <w:rsid w:val="0013698B"/>
    <w:rsid w:val="00136D8A"/>
    <w:rsid w:val="0014008B"/>
    <w:rsid w:val="001415A9"/>
    <w:rsid w:val="001417C1"/>
    <w:rsid w:val="00143A33"/>
    <w:rsid w:val="00145A64"/>
    <w:rsid w:val="0014618B"/>
    <w:rsid w:val="0014620C"/>
    <w:rsid w:val="001477AC"/>
    <w:rsid w:val="00151BC8"/>
    <w:rsid w:val="00152317"/>
    <w:rsid w:val="00152981"/>
    <w:rsid w:val="001533C0"/>
    <w:rsid w:val="00153523"/>
    <w:rsid w:val="00153788"/>
    <w:rsid w:val="001537EB"/>
    <w:rsid w:val="00154596"/>
    <w:rsid w:val="00155167"/>
    <w:rsid w:val="001576B7"/>
    <w:rsid w:val="00157927"/>
    <w:rsid w:val="00162929"/>
    <w:rsid w:val="00162CB8"/>
    <w:rsid w:val="00165AC8"/>
    <w:rsid w:val="00166A47"/>
    <w:rsid w:val="001703A0"/>
    <w:rsid w:val="001703DD"/>
    <w:rsid w:val="00171EE9"/>
    <w:rsid w:val="001741EF"/>
    <w:rsid w:val="00184DDA"/>
    <w:rsid w:val="00184EAF"/>
    <w:rsid w:val="001857E2"/>
    <w:rsid w:val="00185A21"/>
    <w:rsid w:val="00185A76"/>
    <w:rsid w:val="00185F41"/>
    <w:rsid w:val="001912F6"/>
    <w:rsid w:val="0019144B"/>
    <w:rsid w:val="00191A52"/>
    <w:rsid w:val="00192390"/>
    <w:rsid w:val="001933C6"/>
    <w:rsid w:val="0019473A"/>
    <w:rsid w:val="00196BE9"/>
    <w:rsid w:val="001A058C"/>
    <w:rsid w:val="001A0BC4"/>
    <w:rsid w:val="001A1459"/>
    <w:rsid w:val="001A5C58"/>
    <w:rsid w:val="001B0698"/>
    <w:rsid w:val="001B0B08"/>
    <w:rsid w:val="001B1C49"/>
    <w:rsid w:val="001B2F65"/>
    <w:rsid w:val="001B4208"/>
    <w:rsid w:val="001B4417"/>
    <w:rsid w:val="001B7C07"/>
    <w:rsid w:val="001C1259"/>
    <w:rsid w:val="001C1AA4"/>
    <w:rsid w:val="001C3281"/>
    <w:rsid w:val="001C387C"/>
    <w:rsid w:val="001C3D7F"/>
    <w:rsid w:val="001C4C61"/>
    <w:rsid w:val="001D0E81"/>
    <w:rsid w:val="001D1437"/>
    <w:rsid w:val="001D20AE"/>
    <w:rsid w:val="001D490C"/>
    <w:rsid w:val="001D5DBB"/>
    <w:rsid w:val="001D6EC3"/>
    <w:rsid w:val="001D6F43"/>
    <w:rsid w:val="001D7CA2"/>
    <w:rsid w:val="001D7F16"/>
    <w:rsid w:val="001E2EF0"/>
    <w:rsid w:val="001E3320"/>
    <w:rsid w:val="001E458D"/>
    <w:rsid w:val="001E5A4A"/>
    <w:rsid w:val="001E7410"/>
    <w:rsid w:val="001E7EFB"/>
    <w:rsid w:val="001E7F4B"/>
    <w:rsid w:val="001F1063"/>
    <w:rsid w:val="001F212B"/>
    <w:rsid w:val="001F43D1"/>
    <w:rsid w:val="001F533D"/>
    <w:rsid w:val="001F60EC"/>
    <w:rsid w:val="001F64A9"/>
    <w:rsid w:val="001F6AAE"/>
    <w:rsid w:val="00200D73"/>
    <w:rsid w:val="00204269"/>
    <w:rsid w:val="0020465D"/>
    <w:rsid w:val="00204C04"/>
    <w:rsid w:val="002056B1"/>
    <w:rsid w:val="00205916"/>
    <w:rsid w:val="002066EA"/>
    <w:rsid w:val="00206F97"/>
    <w:rsid w:val="00207B2B"/>
    <w:rsid w:val="00207BE4"/>
    <w:rsid w:val="00207F83"/>
    <w:rsid w:val="00213B29"/>
    <w:rsid w:val="002209D3"/>
    <w:rsid w:val="00220DC6"/>
    <w:rsid w:val="00221627"/>
    <w:rsid w:val="00222307"/>
    <w:rsid w:val="00222E8F"/>
    <w:rsid w:val="0022329E"/>
    <w:rsid w:val="00223723"/>
    <w:rsid w:val="00223AE6"/>
    <w:rsid w:val="002242FD"/>
    <w:rsid w:val="002261E0"/>
    <w:rsid w:val="002271DA"/>
    <w:rsid w:val="002305CD"/>
    <w:rsid w:val="0023112F"/>
    <w:rsid w:val="00231623"/>
    <w:rsid w:val="0023250A"/>
    <w:rsid w:val="00232728"/>
    <w:rsid w:val="002329CE"/>
    <w:rsid w:val="00232C16"/>
    <w:rsid w:val="0023429F"/>
    <w:rsid w:val="00234947"/>
    <w:rsid w:val="00235F73"/>
    <w:rsid w:val="002363C0"/>
    <w:rsid w:val="0024143A"/>
    <w:rsid w:val="00242384"/>
    <w:rsid w:val="00243791"/>
    <w:rsid w:val="00244329"/>
    <w:rsid w:val="00244D18"/>
    <w:rsid w:val="00247F8F"/>
    <w:rsid w:val="0025014D"/>
    <w:rsid w:val="00250F9E"/>
    <w:rsid w:val="00252ABC"/>
    <w:rsid w:val="00253056"/>
    <w:rsid w:val="002540A7"/>
    <w:rsid w:val="00254109"/>
    <w:rsid w:val="002543D0"/>
    <w:rsid w:val="00254955"/>
    <w:rsid w:val="00254DA9"/>
    <w:rsid w:val="00255F50"/>
    <w:rsid w:val="00261A36"/>
    <w:rsid w:val="00261ED0"/>
    <w:rsid w:val="002626C1"/>
    <w:rsid w:val="00262FF0"/>
    <w:rsid w:val="0026333F"/>
    <w:rsid w:val="00265141"/>
    <w:rsid w:val="0026517D"/>
    <w:rsid w:val="00265CA6"/>
    <w:rsid w:val="0026635D"/>
    <w:rsid w:val="00266C83"/>
    <w:rsid w:val="00266CF6"/>
    <w:rsid w:val="00267655"/>
    <w:rsid w:val="00271C44"/>
    <w:rsid w:val="0027250F"/>
    <w:rsid w:val="00272CB0"/>
    <w:rsid w:val="00272F76"/>
    <w:rsid w:val="00273983"/>
    <w:rsid w:val="002739E8"/>
    <w:rsid w:val="00274ED6"/>
    <w:rsid w:val="00276EB4"/>
    <w:rsid w:val="00277099"/>
    <w:rsid w:val="0027729A"/>
    <w:rsid w:val="002775D4"/>
    <w:rsid w:val="00281550"/>
    <w:rsid w:val="002818AA"/>
    <w:rsid w:val="00281A76"/>
    <w:rsid w:val="002841F5"/>
    <w:rsid w:val="002873EC"/>
    <w:rsid w:val="00287A64"/>
    <w:rsid w:val="0029091F"/>
    <w:rsid w:val="00292FB3"/>
    <w:rsid w:val="00295E30"/>
    <w:rsid w:val="00297744"/>
    <w:rsid w:val="002A0DC7"/>
    <w:rsid w:val="002A1A55"/>
    <w:rsid w:val="002A296A"/>
    <w:rsid w:val="002A6F54"/>
    <w:rsid w:val="002A720F"/>
    <w:rsid w:val="002B2175"/>
    <w:rsid w:val="002B5127"/>
    <w:rsid w:val="002B54EF"/>
    <w:rsid w:val="002B62B9"/>
    <w:rsid w:val="002B639E"/>
    <w:rsid w:val="002B6CE7"/>
    <w:rsid w:val="002B749D"/>
    <w:rsid w:val="002C012F"/>
    <w:rsid w:val="002C02CC"/>
    <w:rsid w:val="002C06C6"/>
    <w:rsid w:val="002C0BF2"/>
    <w:rsid w:val="002C3CC5"/>
    <w:rsid w:val="002C4297"/>
    <w:rsid w:val="002C43DE"/>
    <w:rsid w:val="002C4402"/>
    <w:rsid w:val="002D4BEC"/>
    <w:rsid w:val="002D53A9"/>
    <w:rsid w:val="002D6BAC"/>
    <w:rsid w:val="002E280A"/>
    <w:rsid w:val="002E3D18"/>
    <w:rsid w:val="002E457D"/>
    <w:rsid w:val="002E5C86"/>
    <w:rsid w:val="002E6267"/>
    <w:rsid w:val="002E6D17"/>
    <w:rsid w:val="002E7639"/>
    <w:rsid w:val="002E7718"/>
    <w:rsid w:val="002E7791"/>
    <w:rsid w:val="002E7F35"/>
    <w:rsid w:val="002F0436"/>
    <w:rsid w:val="002F058B"/>
    <w:rsid w:val="002F2048"/>
    <w:rsid w:val="002F272C"/>
    <w:rsid w:val="002F2E66"/>
    <w:rsid w:val="002F2FCA"/>
    <w:rsid w:val="002F332B"/>
    <w:rsid w:val="002F3CED"/>
    <w:rsid w:val="002F5347"/>
    <w:rsid w:val="002F5E8D"/>
    <w:rsid w:val="002F77FA"/>
    <w:rsid w:val="00300A7A"/>
    <w:rsid w:val="00301A0F"/>
    <w:rsid w:val="00301D43"/>
    <w:rsid w:val="003030B5"/>
    <w:rsid w:val="003038F8"/>
    <w:rsid w:val="00303F90"/>
    <w:rsid w:val="003049F3"/>
    <w:rsid w:val="00304BFF"/>
    <w:rsid w:val="0031139B"/>
    <w:rsid w:val="00311C14"/>
    <w:rsid w:val="00311CF3"/>
    <w:rsid w:val="003123AD"/>
    <w:rsid w:val="0031346D"/>
    <w:rsid w:val="0031666A"/>
    <w:rsid w:val="003166AC"/>
    <w:rsid w:val="00317384"/>
    <w:rsid w:val="0032002C"/>
    <w:rsid w:val="00320E11"/>
    <w:rsid w:val="00320FB3"/>
    <w:rsid w:val="0032353A"/>
    <w:rsid w:val="00324DF7"/>
    <w:rsid w:val="00325931"/>
    <w:rsid w:val="0032606A"/>
    <w:rsid w:val="00327294"/>
    <w:rsid w:val="00330012"/>
    <w:rsid w:val="0033017A"/>
    <w:rsid w:val="00330248"/>
    <w:rsid w:val="003307F5"/>
    <w:rsid w:val="0033276D"/>
    <w:rsid w:val="003343E6"/>
    <w:rsid w:val="00334D48"/>
    <w:rsid w:val="00340EFF"/>
    <w:rsid w:val="00344311"/>
    <w:rsid w:val="00345002"/>
    <w:rsid w:val="00345B14"/>
    <w:rsid w:val="00346E10"/>
    <w:rsid w:val="00350097"/>
    <w:rsid w:val="00350AEC"/>
    <w:rsid w:val="00351AE5"/>
    <w:rsid w:val="0035351D"/>
    <w:rsid w:val="00354B89"/>
    <w:rsid w:val="00354F61"/>
    <w:rsid w:val="0035514B"/>
    <w:rsid w:val="0035567D"/>
    <w:rsid w:val="0035671D"/>
    <w:rsid w:val="00357D72"/>
    <w:rsid w:val="0036022F"/>
    <w:rsid w:val="00361024"/>
    <w:rsid w:val="00361572"/>
    <w:rsid w:val="00361C31"/>
    <w:rsid w:val="00362817"/>
    <w:rsid w:val="00363251"/>
    <w:rsid w:val="00363544"/>
    <w:rsid w:val="003652E3"/>
    <w:rsid w:val="00365923"/>
    <w:rsid w:val="003667E5"/>
    <w:rsid w:val="003668D4"/>
    <w:rsid w:val="00370C03"/>
    <w:rsid w:val="00370F60"/>
    <w:rsid w:val="003731FF"/>
    <w:rsid w:val="00373730"/>
    <w:rsid w:val="00376B66"/>
    <w:rsid w:val="003804F3"/>
    <w:rsid w:val="00380D54"/>
    <w:rsid w:val="003813CE"/>
    <w:rsid w:val="003820BC"/>
    <w:rsid w:val="00383648"/>
    <w:rsid w:val="00383B9E"/>
    <w:rsid w:val="00385715"/>
    <w:rsid w:val="0038578A"/>
    <w:rsid w:val="00385E1B"/>
    <w:rsid w:val="003866DC"/>
    <w:rsid w:val="0038763C"/>
    <w:rsid w:val="00390011"/>
    <w:rsid w:val="003902B0"/>
    <w:rsid w:val="003925D2"/>
    <w:rsid w:val="00392D11"/>
    <w:rsid w:val="00395A77"/>
    <w:rsid w:val="00397CFE"/>
    <w:rsid w:val="003A0151"/>
    <w:rsid w:val="003A0C14"/>
    <w:rsid w:val="003A108B"/>
    <w:rsid w:val="003A3471"/>
    <w:rsid w:val="003A44AB"/>
    <w:rsid w:val="003A463B"/>
    <w:rsid w:val="003A5781"/>
    <w:rsid w:val="003A59DB"/>
    <w:rsid w:val="003A708B"/>
    <w:rsid w:val="003A7634"/>
    <w:rsid w:val="003A7AE5"/>
    <w:rsid w:val="003B0545"/>
    <w:rsid w:val="003B1779"/>
    <w:rsid w:val="003B3B2E"/>
    <w:rsid w:val="003B3C2F"/>
    <w:rsid w:val="003B6DE4"/>
    <w:rsid w:val="003C038C"/>
    <w:rsid w:val="003C0987"/>
    <w:rsid w:val="003C1A08"/>
    <w:rsid w:val="003C1E10"/>
    <w:rsid w:val="003C20B7"/>
    <w:rsid w:val="003C27AB"/>
    <w:rsid w:val="003C724E"/>
    <w:rsid w:val="003C77CC"/>
    <w:rsid w:val="003D044A"/>
    <w:rsid w:val="003D1634"/>
    <w:rsid w:val="003D232D"/>
    <w:rsid w:val="003D50ED"/>
    <w:rsid w:val="003D60D4"/>
    <w:rsid w:val="003D7A5C"/>
    <w:rsid w:val="003E183E"/>
    <w:rsid w:val="003E1CB3"/>
    <w:rsid w:val="003E2A29"/>
    <w:rsid w:val="003E3FDA"/>
    <w:rsid w:val="003E4AD6"/>
    <w:rsid w:val="003E5676"/>
    <w:rsid w:val="003E676F"/>
    <w:rsid w:val="003E7347"/>
    <w:rsid w:val="003E7961"/>
    <w:rsid w:val="003F1144"/>
    <w:rsid w:val="003F2D70"/>
    <w:rsid w:val="003F4314"/>
    <w:rsid w:val="003F51FB"/>
    <w:rsid w:val="003F55CE"/>
    <w:rsid w:val="003F604C"/>
    <w:rsid w:val="003F632D"/>
    <w:rsid w:val="003F6F3D"/>
    <w:rsid w:val="00403598"/>
    <w:rsid w:val="00403663"/>
    <w:rsid w:val="0040497B"/>
    <w:rsid w:val="004063DB"/>
    <w:rsid w:val="00410D9C"/>
    <w:rsid w:val="00411C46"/>
    <w:rsid w:val="0041263E"/>
    <w:rsid w:val="00412A4C"/>
    <w:rsid w:val="00413458"/>
    <w:rsid w:val="0041576B"/>
    <w:rsid w:val="00415C9C"/>
    <w:rsid w:val="004167F8"/>
    <w:rsid w:val="00417B4A"/>
    <w:rsid w:val="004204B4"/>
    <w:rsid w:val="004207D2"/>
    <w:rsid w:val="004214D9"/>
    <w:rsid w:val="00421D64"/>
    <w:rsid w:val="0042203C"/>
    <w:rsid w:val="00424395"/>
    <w:rsid w:val="00425074"/>
    <w:rsid w:val="0042625C"/>
    <w:rsid w:val="00426ADE"/>
    <w:rsid w:val="00431449"/>
    <w:rsid w:val="00431EE7"/>
    <w:rsid w:val="00432002"/>
    <w:rsid w:val="0043529E"/>
    <w:rsid w:val="00435CDD"/>
    <w:rsid w:val="00437A59"/>
    <w:rsid w:val="00437DED"/>
    <w:rsid w:val="004423EC"/>
    <w:rsid w:val="0044420E"/>
    <w:rsid w:val="00447539"/>
    <w:rsid w:val="00447F0E"/>
    <w:rsid w:val="00452E99"/>
    <w:rsid w:val="0045479E"/>
    <w:rsid w:val="00454880"/>
    <w:rsid w:val="0045538D"/>
    <w:rsid w:val="00455CBE"/>
    <w:rsid w:val="00456958"/>
    <w:rsid w:val="00463FF1"/>
    <w:rsid w:val="004648AA"/>
    <w:rsid w:val="00465A66"/>
    <w:rsid w:val="004664CE"/>
    <w:rsid w:val="00466761"/>
    <w:rsid w:val="00467062"/>
    <w:rsid w:val="00467CD4"/>
    <w:rsid w:val="00467D3A"/>
    <w:rsid w:val="0047033E"/>
    <w:rsid w:val="0047038A"/>
    <w:rsid w:val="00471CFB"/>
    <w:rsid w:val="00472519"/>
    <w:rsid w:val="0047256D"/>
    <w:rsid w:val="00472C86"/>
    <w:rsid w:val="00474391"/>
    <w:rsid w:val="00474B2F"/>
    <w:rsid w:val="004755A8"/>
    <w:rsid w:val="00476BC3"/>
    <w:rsid w:val="004778C3"/>
    <w:rsid w:val="00480E0F"/>
    <w:rsid w:val="004840A3"/>
    <w:rsid w:val="00485759"/>
    <w:rsid w:val="00486911"/>
    <w:rsid w:val="00487237"/>
    <w:rsid w:val="004900F8"/>
    <w:rsid w:val="0049014E"/>
    <w:rsid w:val="004908DE"/>
    <w:rsid w:val="00490E89"/>
    <w:rsid w:val="00492009"/>
    <w:rsid w:val="0049291D"/>
    <w:rsid w:val="0049573E"/>
    <w:rsid w:val="00497098"/>
    <w:rsid w:val="004979D9"/>
    <w:rsid w:val="004A04D3"/>
    <w:rsid w:val="004A0B31"/>
    <w:rsid w:val="004A1407"/>
    <w:rsid w:val="004A405C"/>
    <w:rsid w:val="004A5452"/>
    <w:rsid w:val="004A7976"/>
    <w:rsid w:val="004B01F2"/>
    <w:rsid w:val="004B02F1"/>
    <w:rsid w:val="004B0695"/>
    <w:rsid w:val="004B159D"/>
    <w:rsid w:val="004B1F8A"/>
    <w:rsid w:val="004B2BC7"/>
    <w:rsid w:val="004B371B"/>
    <w:rsid w:val="004B3D57"/>
    <w:rsid w:val="004B46FD"/>
    <w:rsid w:val="004B4BB9"/>
    <w:rsid w:val="004B5821"/>
    <w:rsid w:val="004C0301"/>
    <w:rsid w:val="004C1B96"/>
    <w:rsid w:val="004C39FB"/>
    <w:rsid w:val="004C3BD1"/>
    <w:rsid w:val="004D14ED"/>
    <w:rsid w:val="004D2F75"/>
    <w:rsid w:val="004D30BF"/>
    <w:rsid w:val="004D3707"/>
    <w:rsid w:val="004D3AB5"/>
    <w:rsid w:val="004D41B5"/>
    <w:rsid w:val="004D4439"/>
    <w:rsid w:val="004D4877"/>
    <w:rsid w:val="004D48FC"/>
    <w:rsid w:val="004D5750"/>
    <w:rsid w:val="004D5AF6"/>
    <w:rsid w:val="004D5B4A"/>
    <w:rsid w:val="004E068D"/>
    <w:rsid w:val="004E17C5"/>
    <w:rsid w:val="004E405E"/>
    <w:rsid w:val="004E4B71"/>
    <w:rsid w:val="004E6871"/>
    <w:rsid w:val="004E6A93"/>
    <w:rsid w:val="004E7864"/>
    <w:rsid w:val="004F0506"/>
    <w:rsid w:val="004F2841"/>
    <w:rsid w:val="004F3582"/>
    <w:rsid w:val="004F3CA4"/>
    <w:rsid w:val="004F4CE4"/>
    <w:rsid w:val="004F6837"/>
    <w:rsid w:val="004F6AD8"/>
    <w:rsid w:val="004F7CB1"/>
    <w:rsid w:val="0050295B"/>
    <w:rsid w:val="005038C1"/>
    <w:rsid w:val="0050589A"/>
    <w:rsid w:val="00512179"/>
    <w:rsid w:val="0051298A"/>
    <w:rsid w:val="00514A11"/>
    <w:rsid w:val="00515348"/>
    <w:rsid w:val="005157AD"/>
    <w:rsid w:val="005200ED"/>
    <w:rsid w:val="00520111"/>
    <w:rsid w:val="005208A4"/>
    <w:rsid w:val="00520AF1"/>
    <w:rsid w:val="00520C39"/>
    <w:rsid w:val="00521C0E"/>
    <w:rsid w:val="005237B6"/>
    <w:rsid w:val="00526B16"/>
    <w:rsid w:val="00527CA6"/>
    <w:rsid w:val="00530237"/>
    <w:rsid w:val="005309F7"/>
    <w:rsid w:val="00530FB6"/>
    <w:rsid w:val="005312F2"/>
    <w:rsid w:val="0053144A"/>
    <w:rsid w:val="00531511"/>
    <w:rsid w:val="0053219F"/>
    <w:rsid w:val="00533C0B"/>
    <w:rsid w:val="005343CA"/>
    <w:rsid w:val="0053469E"/>
    <w:rsid w:val="0053562D"/>
    <w:rsid w:val="00535F79"/>
    <w:rsid w:val="005417E2"/>
    <w:rsid w:val="0054236B"/>
    <w:rsid w:val="00542D92"/>
    <w:rsid w:val="0054581A"/>
    <w:rsid w:val="00546749"/>
    <w:rsid w:val="0054793C"/>
    <w:rsid w:val="00547CFC"/>
    <w:rsid w:val="005502BB"/>
    <w:rsid w:val="005504E5"/>
    <w:rsid w:val="005522D8"/>
    <w:rsid w:val="005567A9"/>
    <w:rsid w:val="0055696A"/>
    <w:rsid w:val="005574CC"/>
    <w:rsid w:val="005612E1"/>
    <w:rsid w:val="00561FEC"/>
    <w:rsid w:val="00562A87"/>
    <w:rsid w:val="00562E50"/>
    <w:rsid w:val="005639A8"/>
    <w:rsid w:val="00564239"/>
    <w:rsid w:val="005703AA"/>
    <w:rsid w:val="00571998"/>
    <w:rsid w:val="0057207D"/>
    <w:rsid w:val="0057239C"/>
    <w:rsid w:val="00572F71"/>
    <w:rsid w:val="00574B40"/>
    <w:rsid w:val="005751B2"/>
    <w:rsid w:val="005758E1"/>
    <w:rsid w:val="00577C36"/>
    <w:rsid w:val="00577D5A"/>
    <w:rsid w:val="00580008"/>
    <w:rsid w:val="005809D3"/>
    <w:rsid w:val="00582269"/>
    <w:rsid w:val="0058345F"/>
    <w:rsid w:val="005836C4"/>
    <w:rsid w:val="00583DE5"/>
    <w:rsid w:val="00584AF1"/>
    <w:rsid w:val="00585CA3"/>
    <w:rsid w:val="00591F9B"/>
    <w:rsid w:val="00592FCB"/>
    <w:rsid w:val="00593876"/>
    <w:rsid w:val="00593AF8"/>
    <w:rsid w:val="0059403E"/>
    <w:rsid w:val="005947DE"/>
    <w:rsid w:val="005951D8"/>
    <w:rsid w:val="00595C87"/>
    <w:rsid w:val="00597888"/>
    <w:rsid w:val="00597BDE"/>
    <w:rsid w:val="005A0122"/>
    <w:rsid w:val="005A0375"/>
    <w:rsid w:val="005A0976"/>
    <w:rsid w:val="005A1CF8"/>
    <w:rsid w:val="005A22BA"/>
    <w:rsid w:val="005A40F5"/>
    <w:rsid w:val="005A6F92"/>
    <w:rsid w:val="005B12C9"/>
    <w:rsid w:val="005B2F75"/>
    <w:rsid w:val="005B37F9"/>
    <w:rsid w:val="005B3D82"/>
    <w:rsid w:val="005B63C9"/>
    <w:rsid w:val="005C0560"/>
    <w:rsid w:val="005C0C45"/>
    <w:rsid w:val="005C1004"/>
    <w:rsid w:val="005C5B08"/>
    <w:rsid w:val="005C6177"/>
    <w:rsid w:val="005C7550"/>
    <w:rsid w:val="005D4630"/>
    <w:rsid w:val="005D558B"/>
    <w:rsid w:val="005D6860"/>
    <w:rsid w:val="005D70C9"/>
    <w:rsid w:val="005E0504"/>
    <w:rsid w:val="005E14AA"/>
    <w:rsid w:val="005E2881"/>
    <w:rsid w:val="005E2B9E"/>
    <w:rsid w:val="005E2E13"/>
    <w:rsid w:val="005E2E57"/>
    <w:rsid w:val="005E5711"/>
    <w:rsid w:val="005E7CD4"/>
    <w:rsid w:val="005E7F90"/>
    <w:rsid w:val="005F0723"/>
    <w:rsid w:val="005F0EEB"/>
    <w:rsid w:val="005F2E33"/>
    <w:rsid w:val="005F6885"/>
    <w:rsid w:val="005F727F"/>
    <w:rsid w:val="005F77DA"/>
    <w:rsid w:val="00602D2C"/>
    <w:rsid w:val="00603F50"/>
    <w:rsid w:val="006059C9"/>
    <w:rsid w:val="00606CB3"/>
    <w:rsid w:val="006070C3"/>
    <w:rsid w:val="0060713C"/>
    <w:rsid w:val="00607B79"/>
    <w:rsid w:val="006105FE"/>
    <w:rsid w:val="00611F9C"/>
    <w:rsid w:val="00612C1E"/>
    <w:rsid w:val="00612E04"/>
    <w:rsid w:val="00613D68"/>
    <w:rsid w:val="0061547B"/>
    <w:rsid w:val="00617723"/>
    <w:rsid w:val="00617AE4"/>
    <w:rsid w:val="006221A4"/>
    <w:rsid w:val="00622762"/>
    <w:rsid w:val="0062489D"/>
    <w:rsid w:val="00624C0F"/>
    <w:rsid w:val="0062652C"/>
    <w:rsid w:val="006276DC"/>
    <w:rsid w:val="00631796"/>
    <w:rsid w:val="00632CCE"/>
    <w:rsid w:val="006347DE"/>
    <w:rsid w:val="00634F1A"/>
    <w:rsid w:val="00636A50"/>
    <w:rsid w:val="00637946"/>
    <w:rsid w:val="00637979"/>
    <w:rsid w:val="00637EEA"/>
    <w:rsid w:val="0064121F"/>
    <w:rsid w:val="00641369"/>
    <w:rsid w:val="00641ECD"/>
    <w:rsid w:val="006425AD"/>
    <w:rsid w:val="00642602"/>
    <w:rsid w:val="00643B0C"/>
    <w:rsid w:val="00644ABC"/>
    <w:rsid w:val="00644C22"/>
    <w:rsid w:val="00647CE9"/>
    <w:rsid w:val="00650B52"/>
    <w:rsid w:val="00650E15"/>
    <w:rsid w:val="006533C8"/>
    <w:rsid w:val="00654390"/>
    <w:rsid w:val="00654440"/>
    <w:rsid w:val="00657505"/>
    <w:rsid w:val="00657E18"/>
    <w:rsid w:val="00660C8B"/>
    <w:rsid w:val="00661BAA"/>
    <w:rsid w:val="006623BC"/>
    <w:rsid w:val="00663AD2"/>
    <w:rsid w:val="006663A6"/>
    <w:rsid w:val="00667350"/>
    <w:rsid w:val="00667890"/>
    <w:rsid w:val="00667BE0"/>
    <w:rsid w:val="00670D0A"/>
    <w:rsid w:val="006718CC"/>
    <w:rsid w:val="00676F32"/>
    <w:rsid w:val="006774B3"/>
    <w:rsid w:val="006774B5"/>
    <w:rsid w:val="00677A0E"/>
    <w:rsid w:val="00680A6B"/>
    <w:rsid w:val="006815AF"/>
    <w:rsid w:val="00683AEA"/>
    <w:rsid w:val="00683D9B"/>
    <w:rsid w:val="00683EB2"/>
    <w:rsid w:val="0068406B"/>
    <w:rsid w:val="0068417D"/>
    <w:rsid w:val="006858D8"/>
    <w:rsid w:val="00685D42"/>
    <w:rsid w:val="006867E3"/>
    <w:rsid w:val="00687C0E"/>
    <w:rsid w:val="00690CE8"/>
    <w:rsid w:val="00691C41"/>
    <w:rsid w:val="00691FAA"/>
    <w:rsid w:val="006945AF"/>
    <w:rsid w:val="006952EE"/>
    <w:rsid w:val="00695330"/>
    <w:rsid w:val="006965F7"/>
    <w:rsid w:val="0069684F"/>
    <w:rsid w:val="00696E6F"/>
    <w:rsid w:val="006A0946"/>
    <w:rsid w:val="006A374F"/>
    <w:rsid w:val="006A3EB1"/>
    <w:rsid w:val="006A48E2"/>
    <w:rsid w:val="006A4E4C"/>
    <w:rsid w:val="006A5265"/>
    <w:rsid w:val="006A5409"/>
    <w:rsid w:val="006A56C9"/>
    <w:rsid w:val="006B0722"/>
    <w:rsid w:val="006B0D8B"/>
    <w:rsid w:val="006B0DC6"/>
    <w:rsid w:val="006B11DD"/>
    <w:rsid w:val="006B2B63"/>
    <w:rsid w:val="006C0127"/>
    <w:rsid w:val="006C06C2"/>
    <w:rsid w:val="006C10D3"/>
    <w:rsid w:val="006C12C9"/>
    <w:rsid w:val="006C194D"/>
    <w:rsid w:val="006C49DA"/>
    <w:rsid w:val="006C5969"/>
    <w:rsid w:val="006C5B32"/>
    <w:rsid w:val="006D0766"/>
    <w:rsid w:val="006D1D29"/>
    <w:rsid w:val="006D2FB9"/>
    <w:rsid w:val="006D4138"/>
    <w:rsid w:val="006D622F"/>
    <w:rsid w:val="006D6AD8"/>
    <w:rsid w:val="006D6E01"/>
    <w:rsid w:val="006E0852"/>
    <w:rsid w:val="006E2D41"/>
    <w:rsid w:val="006E5ADD"/>
    <w:rsid w:val="006F0B70"/>
    <w:rsid w:val="006F1BE4"/>
    <w:rsid w:val="006F1F18"/>
    <w:rsid w:val="006F3024"/>
    <w:rsid w:val="006F5F0E"/>
    <w:rsid w:val="007011E0"/>
    <w:rsid w:val="00701525"/>
    <w:rsid w:val="0070635D"/>
    <w:rsid w:val="00706960"/>
    <w:rsid w:val="0071032F"/>
    <w:rsid w:val="00710B8B"/>
    <w:rsid w:val="00710BB1"/>
    <w:rsid w:val="007118FD"/>
    <w:rsid w:val="00712455"/>
    <w:rsid w:val="007137B5"/>
    <w:rsid w:val="00714587"/>
    <w:rsid w:val="00715614"/>
    <w:rsid w:val="00716AB5"/>
    <w:rsid w:val="00717758"/>
    <w:rsid w:val="00722BC3"/>
    <w:rsid w:val="00723E62"/>
    <w:rsid w:val="00725C11"/>
    <w:rsid w:val="0073062F"/>
    <w:rsid w:val="00733511"/>
    <w:rsid w:val="00733871"/>
    <w:rsid w:val="00736350"/>
    <w:rsid w:val="00737173"/>
    <w:rsid w:val="00737FF2"/>
    <w:rsid w:val="007418F8"/>
    <w:rsid w:val="00741C74"/>
    <w:rsid w:val="007426F0"/>
    <w:rsid w:val="00743E4B"/>
    <w:rsid w:val="00744577"/>
    <w:rsid w:val="00744E4B"/>
    <w:rsid w:val="00747B1F"/>
    <w:rsid w:val="00751E82"/>
    <w:rsid w:val="00752360"/>
    <w:rsid w:val="007525F0"/>
    <w:rsid w:val="007539B5"/>
    <w:rsid w:val="007539C2"/>
    <w:rsid w:val="00753DA0"/>
    <w:rsid w:val="007562E5"/>
    <w:rsid w:val="00756821"/>
    <w:rsid w:val="00756CA4"/>
    <w:rsid w:val="0075724E"/>
    <w:rsid w:val="00761741"/>
    <w:rsid w:val="0076228D"/>
    <w:rsid w:val="00762585"/>
    <w:rsid w:val="00763359"/>
    <w:rsid w:val="00763659"/>
    <w:rsid w:val="007664A3"/>
    <w:rsid w:val="007666D1"/>
    <w:rsid w:val="00771783"/>
    <w:rsid w:val="007718FD"/>
    <w:rsid w:val="00772268"/>
    <w:rsid w:val="00775023"/>
    <w:rsid w:val="00777387"/>
    <w:rsid w:val="0078256E"/>
    <w:rsid w:val="0078438E"/>
    <w:rsid w:val="0078494F"/>
    <w:rsid w:val="00784DD5"/>
    <w:rsid w:val="00787CB6"/>
    <w:rsid w:val="00791C2F"/>
    <w:rsid w:val="00793A45"/>
    <w:rsid w:val="00794B24"/>
    <w:rsid w:val="00796EDD"/>
    <w:rsid w:val="00797146"/>
    <w:rsid w:val="007A074D"/>
    <w:rsid w:val="007A0FD8"/>
    <w:rsid w:val="007A373A"/>
    <w:rsid w:val="007A4405"/>
    <w:rsid w:val="007A4A3B"/>
    <w:rsid w:val="007A6F1A"/>
    <w:rsid w:val="007A728A"/>
    <w:rsid w:val="007A7B16"/>
    <w:rsid w:val="007B235D"/>
    <w:rsid w:val="007B297D"/>
    <w:rsid w:val="007B5272"/>
    <w:rsid w:val="007B5B9B"/>
    <w:rsid w:val="007B5C21"/>
    <w:rsid w:val="007B681A"/>
    <w:rsid w:val="007B7CC3"/>
    <w:rsid w:val="007B7F97"/>
    <w:rsid w:val="007C1722"/>
    <w:rsid w:val="007C2B54"/>
    <w:rsid w:val="007C2C2D"/>
    <w:rsid w:val="007C36BB"/>
    <w:rsid w:val="007C3F5B"/>
    <w:rsid w:val="007C3FE8"/>
    <w:rsid w:val="007C6277"/>
    <w:rsid w:val="007C65D7"/>
    <w:rsid w:val="007C6940"/>
    <w:rsid w:val="007C7BDD"/>
    <w:rsid w:val="007D1B17"/>
    <w:rsid w:val="007D25DD"/>
    <w:rsid w:val="007D2D24"/>
    <w:rsid w:val="007D2D70"/>
    <w:rsid w:val="007D3C51"/>
    <w:rsid w:val="007D41DC"/>
    <w:rsid w:val="007D4A0E"/>
    <w:rsid w:val="007D5954"/>
    <w:rsid w:val="007D68A4"/>
    <w:rsid w:val="007D791E"/>
    <w:rsid w:val="007E15C3"/>
    <w:rsid w:val="007E1A21"/>
    <w:rsid w:val="007E29BE"/>
    <w:rsid w:val="007E56BE"/>
    <w:rsid w:val="007E6369"/>
    <w:rsid w:val="007E640F"/>
    <w:rsid w:val="007E6AFF"/>
    <w:rsid w:val="007E71D0"/>
    <w:rsid w:val="007F0E31"/>
    <w:rsid w:val="007F1A58"/>
    <w:rsid w:val="007F1C50"/>
    <w:rsid w:val="007F2DBF"/>
    <w:rsid w:val="007F5752"/>
    <w:rsid w:val="007F6A72"/>
    <w:rsid w:val="007F6F08"/>
    <w:rsid w:val="0080277B"/>
    <w:rsid w:val="00803B8F"/>
    <w:rsid w:val="00804016"/>
    <w:rsid w:val="008117D3"/>
    <w:rsid w:val="0081234F"/>
    <w:rsid w:val="00812394"/>
    <w:rsid w:val="0081383B"/>
    <w:rsid w:val="00814544"/>
    <w:rsid w:val="00815F30"/>
    <w:rsid w:val="0082004F"/>
    <w:rsid w:val="00823741"/>
    <w:rsid w:val="00824302"/>
    <w:rsid w:val="00824B2D"/>
    <w:rsid w:val="0083119A"/>
    <w:rsid w:val="008321CA"/>
    <w:rsid w:val="00833482"/>
    <w:rsid w:val="00834D88"/>
    <w:rsid w:val="00836EFB"/>
    <w:rsid w:val="00836F2E"/>
    <w:rsid w:val="00837347"/>
    <w:rsid w:val="00837AA7"/>
    <w:rsid w:val="00837AB7"/>
    <w:rsid w:val="008407F7"/>
    <w:rsid w:val="00842535"/>
    <w:rsid w:val="00842EE2"/>
    <w:rsid w:val="0084422E"/>
    <w:rsid w:val="0084490D"/>
    <w:rsid w:val="00844FD1"/>
    <w:rsid w:val="008471BF"/>
    <w:rsid w:val="00847337"/>
    <w:rsid w:val="0084750B"/>
    <w:rsid w:val="00847B10"/>
    <w:rsid w:val="008502FF"/>
    <w:rsid w:val="00852780"/>
    <w:rsid w:val="0085338E"/>
    <w:rsid w:val="00854207"/>
    <w:rsid w:val="0085486D"/>
    <w:rsid w:val="00854F2A"/>
    <w:rsid w:val="008558D7"/>
    <w:rsid w:val="00856A2F"/>
    <w:rsid w:val="00856DF3"/>
    <w:rsid w:val="00857155"/>
    <w:rsid w:val="00860678"/>
    <w:rsid w:val="00860C22"/>
    <w:rsid w:val="00861187"/>
    <w:rsid w:val="00862CA2"/>
    <w:rsid w:val="00864C8F"/>
    <w:rsid w:val="00865257"/>
    <w:rsid w:val="0086633C"/>
    <w:rsid w:val="00870BF9"/>
    <w:rsid w:val="00870CA9"/>
    <w:rsid w:val="008710E7"/>
    <w:rsid w:val="00871C94"/>
    <w:rsid w:val="00873997"/>
    <w:rsid w:val="00880022"/>
    <w:rsid w:val="0088004D"/>
    <w:rsid w:val="00880C75"/>
    <w:rsid w:val="00882B85"/>
    <w:rsid w:val="0088304A"/>
    <w:rsid w:val="00883093"/>
    <w:rsid w:val="00883B4A"/>
    <w:rsid w:val="00886321"/>
    <w:rsid w:val="00886419"/>
    <w:rsid w:val="00891061"/>
    <w:rsid w:val="008917FE"/>
    <w:rsid w:val="00894ACF"/>
    <w:rsid w:val="00894FCD"/>
    <w:rsid w:val="00895828"/>
    <w:rsid w:val="00895AEC"/>
    <w:rsid w:val="00896F4B"/>
    <w:rsid w:val="008A0270"/>
    <w:rsid w:val="008A0739"/>
    <w:rsid w:val="008A0D53"/>
    <w:rsid w:val="008A5EF6"/>
    <w:rsid w:val="008A6B93"/>
    <w:rsid w:val="008A6EE5"/>
    <w:rsid w:val="008A71C1"/>
    <w:rsid w:val="008A7C56"/>
    <w:rsid w:val="008B0DF0"/>
    <w:rsid w:val="008B18D7"/>
    <w:rsid w:val="008B21E3"/>
    <w:rsid w:val="008B383B"/>
    <w:rsid w:val="008B383D"/>
    <w:rsid w:val="008B5742"/>
    <w:rsid w:val="008B67E7"/>
    <w:rsid w:val="008B7037"/>
    <w:rsid w:val="008C13E7"/>
    <w:rsid w:val="008C1F0C"/>
    <w:rsid w:val="008C32AD"/>
    <w:rsid w:val="008C3B64"/>
    <w:rsid w:val="008C4A82"/>
    <w:rsid w:val="008C5F98"/>
    <w:rsid w:val="008C6FDA"/>
    <w:rsid w:val="008C7C47"/>
    <w:rsid w:val="008C7E38"/>
    <w:rsid w:val="008D14CA"/>
    <w:rsid w:val="008D238E"/>
    <w:rsid w:val="008D2B4B"/>
    <w:rsid w:val="008D4895"/>
    <w:rsid w:val="008D7745"/>
    <w:rsid w:val="008E0093"/>
    <w:rsid w:val="008E0927"/>
    <w:rsid w:val="008E2600"/>
    <w:rsid w:val="008F0F65"/>
    <w:rsid w:val="008F0FA3"/>
    <w:rsid w:val="008F3960"/>
    <w:rsid w:val="008F3C7A"/>
    <w:rsid w:val="008F7B86"/>
    <w:rsid w:val="008F7E7C"/>
    <w:rsid w:val="00900002"/>
    <w:rsid w:val="009008BA"/>
    <w:rsid w:val="009023E9"/>
    <w:rsid w:val="00902C34"/>
    <w:rsid w:val="00906595"/>
    <w:rsid w:val="009065F1"/>
    <w:rsid w:val="00911C19"/>
    <w:rsid w:val="00911FF7"/>
    <w:rsid w:val="0091264B"/>
    <w:rsid w:val="00912FB9"/>
    <w:rsid w:val="00914B0F"/>
    <w:rsid w:val="00915A36"/>
    <w:rsid w:val="0091672F"/>
    <w:rsid w:val="00917313"/>
    <w:rsid w:val="00917498"/>
    <w:rsid w:val="00920AE2"/>
    <w:rsid w:val="00920E73"/>
    <w:rsid w:val="00921D23"/>
    <w:rsid w:val="00922054"/>
    <w:rsid w:val="0092222E"/>
    <w:rsid w:val="0092364E"/>
    <w:rsid w:val="00923757"/>
    <w:rsid w:val="00925931"/>
    <w:rsid w:val="00926887"/>
    <w:rsid w:val="00927DCD"/>
    <w:rsid w:val="009301B0"/>
    <w:rsid w:val="00932053"/>
    <w:rsid w:val="00933954"/>
    <w:rsid w:val="00933D0E"/>
    <w:rsid w:val="009360EC"/>
    <w:rsid w:val="009372CF"/>
    <w:rsid w:val="00937661"/>
    <w:rsid w:val="00940295"/>
    <w:rsid w:val="00941034"/>
    <w:rsid w:val="009417EA"/>
    <w:rsid w:val="00943A13"/>
    <w:rsid w:val="00945FB7"/>
    <w:rsid w:val="00946DC0"/>
    <w:rsid w:val="00947B97"/>
    <w:rsid w:val="00950E1A"/>
    <w:rsid w:val="009513BF"/>
    <w:rsid w:val="00951F8E"/>
    <w:rsid w:val="0095275C"/>
    <w:rsid w:val="00953184"/>
    <w:rsid w:val="009539DA"/>
    <w:rsid w:val="0095606D"/>
    <w:rsid w:val="00956DE9"/>
    <w:rsid w:val="00957022"/>
    <w:rsid w:val="009570A4"/>
    <w:rsid w:val="00960A7C"/>
    <w:rsid w:val="009617A9"/>
    <w:rsid w:val="00961830"/>
    <w:rsid w:val="009619A5"/>
    <w:rsid w:val="00961FE9"/>
    <w:rsid w:val="00962A7C"/>
    <w:rsid w:val="00962B48"/>
    <w:rsid w:val="00965151"/>
    <w:rsid w:val="0096788B"/>
    <w:rsid w:val="00971F80"/>
    <w:rsid w:val="009721E4"/>
    <w:rsid w:val="009736C6"/>
    <w:rsid w:val="00973AD4"/>
    <w:rsid w:val="009741AC"/>
    <w:rsid w:val="009751D5"/>
    <w:rsid w:val="009759EB"/>
    <w:rsid w:val="00977E1F"/>
    <w:rsid w:val="00981B6E"/>
    <w:rsid w:val="009852FC"/>
    <w:rsid w:val="009856DF"/>
    <w:rsid w:val="009861B9"/>
    <w:rsid w:val="00986F77"/>
    <w:rsid w:val="00987ADF"/>
    <w:rsid w:val="00990BE3"/>
    <w:rsid w:val="00992519"/>
    <w:rsid w:val="0099362E"/>
    <w:rsid w:val="009946E9"/>
    <w:rsid w:val="009A097E"/>
    <w:rsid w:val="009A1FE1"/>
    <w:rsid w:val="009A389C"/>
    <w:rsid w:val="009A44A4"/>
    <w:rsid w:val="009A4C5E"/>
    <w:rsid w:val="009A59BB"/>
    <w:rsid w:val="009A668A"/>
    <w:rsid w:val="009A6A95"/>
    <w:rsid w:val="009A76FA"/>
    <w:rsid w:val="009A7B82"/>
    <w:rsid w:val="009B2C1C"/>
    <w:rsid w:val="009B49A9"/>
    <w:rsid w:val="009B4B5B"/>
    <w:rsid w:val="009B5145"/>
    <w:rsid w:val="009B6003"/>
    <w:rsid w:val="009B79AD"/>
    <w:rsid w:val="009C0E17"/>
    <w:rsid w:val="009C14A1"/>
    <w:rsid w:val="009C1CF4"/>
    <w:rsid w:val="009C220D"/>
    <w:rsid w:val="009C22F1"/>
    <w:rsid w:val="009C2703"/>
    <w:rsid w:val="009C3270"/>
    <w:rsid w:val="009C38D5"/>
    <w:rsid w:val="009C52D4"/>
    <w:rsid w:val="009C5F1B"/>
    <w:rsid w:val="009C6046"/>
    <w:rsid w:val="009C791D"/>
    <w:rsid w:val="009C7BD6"/>
    <w:rsid w:val="009D0F02"/>
    <w:rsid w:val="009D12A6"/>
    <w:rsid w:val="009D192E"/>
    <w:rsid w:val="009D1B7A"/>
    <w:rsid w:val="009D5C0A"/>
    <w:rsid w:val="009D62F1"/>
    <w:rsid w:val="009D6B91"/>
    <w:rsid w:val="009D719F"/>
    <w:rsid w:val="009E0643"/>
    <w:rsid w:val="009E396D"/>
    <w:rsid w:val="009E43FD"/>
    <w:rsid w:val="009E65F8"/>
    <w:rsid w:val="009E6929"/>
    <w:rsid w:val="009E6B1C"/>
    <w:rsid w:val="009E7FCD"/>
    <w:rsid w:val="009F4331"/>
    <w:rsid w:val="009F4FE4"/>
    <w:rsid w:val="00A00BA5"/>
    <w:rsid w:val="00A00C77"/>
    <w:rsid w:val="00A00EF7"/>
    <w:rsid w:val="00A026D5"/>
    <w:rsid w:val="00A02FD1"/>
    <w:rsid w:val="00A03C1A"/>
    <w:rsid w:val="00A03F7B"/>
    <w:rsid w:val="00A0652E"/>
    <w:rsid w:val="00A06952"/>
    <w:rsid w:val="00A0782F"/>
    <w:rsid w:val="00A13DA1"/>
    <w:rsid w:val="00A14A7A"/>
    <w:rsid w:val="00A162BC"/>
    <w:rsid w:val="00A20524"/>
    <w:rsid w:val="00A22E37"/>
    <w:rsid w:val="00A248D8"/>
    <w:rsid w:val="00A24B0B"/>
    <w:rsid w:val="00A25170"/>
    <w:rsid w:val="00A26DF6"/>
    <w:rsid w:val="00A27C3C"/>
    <w:rsid w:val="00A32AEC"/>
    <w:rsid w:val="00A331F4"/>
    <w:rsid w:val="00A34579"/>
    <w:rsid w:val="00A345B8"/>
    <w:rsid w:val="00A378BF"/>
    <w:rsid w:val="00A3794F"/>
    <w:rsid w:val="00A40C7D"/>
    <w:rsid w:val="00A45451"/>
    <w:rsid w:val="00A463D9"/>
    <w:rsid w:val="00A46E36"/>
    <w:rsid w:val="00A471EC"/>
    <w:rsid w:val="00A50AEC"/>
    <w:rsid w:val="00A514D1"/>
    <w:rsid w:val="00A51A49"/>
    <w:rsid w:val="00A51D74"/>
    <w:rsid w:val="00A52214"/>
    <w:rsid w:val="00A52BC6"/>
    <w:rsid w:val="00A56B57"/>
    <w:rsid w:val="00A600E1"/>
    <w:rsid w:val="00A60B4A"/>
    <w:rsid w:val="00A60C41"/>
    <w:rsid w:val="00A60C4B"/>
    <w:rsid w:val="00A61D79"/>
    <w:rsid w:val="00A6230D"/>
    <w:rsid w:val="00A629E9"/>
    <w:rsid w:val="00A63868"/>
    <w:rsid w:val="00A63BCC"/>
    <w:rsid w:val="00A64044"/>
    <w:rsid w:val="00A64EEE"/>
    <w:rsid w:val="00A65E78"/>
    <w:rsid w:val="00A66216"/>
    <w:rsid w:val="00A67333"/>
    <w:rsid w:val="00A673B9"/>
    <w:rsid w:val="00A727DF"/>
    <w:rsid w:val="00A737EB"/>
    <w:rsid w:val="00A7391F"/>
    <w:rsid w:val="00A73F45"/>
    <w:rsid w:val="00A75ADB"/>
    <w:rsid w:val="00A774D3"/>
    <w:rsid w:val="00A77D23"/>
    <w:rsid w:val="00A80375"/>
    <w:rsid w:val="00A82172"/>
    <w:rsid w:val="00A8293E"/>
    <w:rsid w:val="00A82D57"/>
    <w:rsid w:val="00A82EB2"/>
    <w:rsid w:val="00A85D6A"/>
    <w:rsid w:val="00A87549"/>
    <w:rsid w:val="00A900F0"/>
    <w:rsid w:val="00A90166"/>
    <w:rsid w:val="00A9056C"/>
    <w:rsid w:val="00A921C2"/>
    <w:rsid w:val="00A92539"/>
    <w:rsid w:val="00A92EED"/>
    <w:rsid w:val="00A9310E"/>
    <w:rsid w:val="00A93BF3"/>
    <w:rsid w:val="00A95E8A"/>
    <w:rsid w:val="00A96FB8"/>
    <w:rsid w:val="00A97964"/>
    <w:rsid w:val="00AA117C"/>
    <w:rsid w:val="00AA23A7"/>
    <w:rsid w:val="00AA330F"/>
    <w:rsid w:val="00AA3782"/>
    <w:rsid w:val="00AA47C8"/>
    <w:rsid w:val="00AA5399"/>
    <w:rsid w:val="00AA5695"/>
    <w:rsid w:val="00AA6F66"/>
    <w:rsid w:val="00AA74C4"/>
    <w:rsid w:val="00AB1D27"/>
    <w:rsid w:val="00AB22EB"/>
    <w:rsid w:val="00AB5A7E"/>
    <w:rsid w:val="00AC1252"/>
    <w:rsid w:val="00AC136C"/>
    <w:rsid w:val="00AC269B"/>
    <w:rsid w:val="00AC2A99"/>
    <w:rsid w:val="00AC4393"/>
    <w:rsid w:val="00AC7E94"/>
    <w:rsid w:val="00AC7FCF"/>
    <w:rsid w:val="00AD00BB"/>
    <w:rsid w:val="00AD292F"/>
    <w:rsid w:val="00AD42B3"/>
    <w:rsid w:val="00AD5C07"/>
    <w:rsid w:val="00AD7549"/>
    <w:rsid w:val="00AE03C9"/>
    <w:rsid w:val="00AE0E07"/>
    <w:rsid w:val="00AE1042"/>
    <w:rsid w:val="00AE197C"/>
    <w:rsid w:val="00AE1D25"/>
    <w:rsid w:val="00AE1F85"/>
    <w:rsid w:val="00AE23B4"/>
    <w:rsid w:val="00AE4FB6"/>
    <w:rsid w:val="00AE5670"/>
    <w:rsid w:val="00AE5E00"/>
    <w:rsid w:val="00AE6360"/>
    <w:rsid w:val="00AE75FD"/>
    <w:rsid w:val="00AF2FFE"/>
    <w:rsid w:val="00AF34FF"/>
    <w:rsid w:val="00AF4514"/>
    <w:rsid w:val="00AF4875"/>
    <w:rsid w:val="00AF55CC"/>
    <w:rsid w:val="00AF5FD0"/>
    <w:rsid w:val="00AF62D6"/>
    <w:rsid w:val="00AF6467"/>
    <w:rsid w:val="00AF694E"/>
    <w:rsid w:val="00B00030"/>
    <w:rsid w:val="00B00D8E"/>
    <w:rsid w:val="00B011AC"/>
    <w:rsid w:val="00B020CC"/>
    <w:rsid w:val="00B02E6B"/>
    <w:rsid w:val="00B03AF0"/>
    <w:rsid w:val="00B04889"/>
    <w:rsid w:val="00B05579"/>
    <w:rsid w:val="00B05DCA"/>
    <w:rsid w:val="00B06E45"/>
    <w:rsid w:val="00B1012B"/>
    <w:rsid w:val="00B115EB"/>
    <w:rsid w:val="00B1193E"/>
    <w:rsid w:val="00B13100"/>
    <w:rsid w:val="00B13A12"/>
    <w:rsid w:val="00B14331"/>
    <w:rsid w:val="00B14DD8"/>
    <w:rsid w:val="00B157FF"/>
    <w:rsid w:val="00B17D4C"/>
    <w:rsid w:val="00B20B84"/>
    <w:rsid w:val="00B20C77"/>
    <w:rsid w:val="00B236A2"/>
    <w:rsid w:val="00B23F06"/>
    <w:rsid w:val="00B248CC"/>
    <w:rsid w:val="00B24F73"/>
    <w:rsid w:val="00B25245"/>
    <w:rsid w:val="00B26B61"/>
    <w:rsid w:val="00B26D48"/>
    <w:rsid w:val="00B27C80"/>
    <w:rsid w:val="00B27E29"/>
    <w:rsid w:val="00B30085"/>
    <w:rsid w:val="00B30391"/>
    <w:rsid w:val="00B333C9"/>
    <w:rsid w:val="00B364B6"/>
    <w:rsid w:val="00B36919"/>
    <w:rsid w:val="00B40303"/>
    <w:rsid w:val="00B404DF"/>
    <w:rsid w:val="00B41915"/>
    <w:rsid w:val="00B42AFA"/>
    <w:rsid w:val="00B4567B"/>
    <w:rsid w:val="00B463E6"/>
    <w:rsid w:val="00B50AA4"/>
    <w:rsid w:val="00B5121F"/>
    <w:rsid w:val="00B51736"/>
    <w:rsid w:val="00B522A1"/>
    <w:rsid w:val="00B52A15"/>
    <w:rsid w:val="00B5336A"/>
    <w:rsid w:val="00B54EB1"/>
    <w:rsid w:val="00B564EC"/>
    <w:rsid w:val="00B57F75"/>
    <w:rsid w:val="00B617B4"/>
    <w:rsid w:val="00B617D8"/>
    <w:rsid w:val="00B62C21"/>
    <w:rsid w:val="00B6404E"/>
    <w:rsid w:val="00B65B20"/>
    <w:rsid w:val="00B6605E"/>
    <w:rsid w:val="00B665B1"/>
    <w:rsid w:val="00B67349"/>
    <w:rsid w:val="00B67C54"/>
    <w:rsid w:val="00B70021"/>
    <w:rsid w:val="00B70AD0"/>
    <w:rsid w:val="00B70F22"/>
    <w:rsid w:val="00B731F1"/>
    <w:rsid w:val="00B74412"/>
    <w:rsid w:val="00B76291"/>
    <w:rsid w:val="00B767FB"/>
    <w:rsid w:val="00B804DE"/>
    <w:rsid w:val="00B81141"/>
    <w:rsid w:val="00B81C7F"/>
    <w:rsid w:val="00B83832"/>
    <w:rsid w:val="00B87230"/>
    <w:rsid w:val="00B8792A"/>
    <w:rsid w:val="00B8799B"/>
    <w:rsid w:val="00B87E72"/>
    <w:rsid w:val="00B92406"/>
    <w:rsid w:val="00B93291"/>
    <w:rsid w:val="00B954D9"/>
    <w:rsid w:val="00B95FB1"/>
    <w:rsid w:val="00B96E09"/>
    <w:rsid w:val="00B97682"/>
    <w:rsid w:val="00B97E83"/>
    <w:rsid w:val="00BA0F3B"/>
    <w:rsid w:val="00BA1A50"/>
    <w:rsid w:val="00BA256E"/>
    <w:rsid w:val="00BA4E21"/>
    <w:rsid w:val="00BA53D2"/>
    <w:rsid w:val="00BB076E"/>
    <w:rsid w:val="00BB2633"/>
    <w:rsid w:val="00BB388F"/>
    <w:rsid w:val="00BB4302"/>
    <w:rsid w:val="00BB4D5F"/>
    <w:rsid w:val="00BB6B9B"/>
    <w:rsid w:val="00BB6F65"/>
    <w:rsid w:val="00BB763A"/>
    <w:rsid w:val="00BC01E2"/>
    <w:rsid w:val="00BC086B"/>
    <w:rsid w:val="00BC4376"/>
    <w:rsid w:val="00BC486A"/>
    <w:rsid w:val="00BC4DBA"/>
    <w:rsid w:val="00BC560E"/>
    <w:rsid w:val="00BC5BA8"/>
    <w:rsid w:val="00BC658E"/>
    <w:rsid w:val="00BC762A"/>
    <w:rsid w:val="00BD03F0"/>
    <w:rsid w:val="00BD0632"/>
    <w:rsid w:val="00BD0BA0"/>
    <w:rsid w:val="00BD17BB"/>
    <w:rsid w:val="00BD207A"/>
    <w:rsid w:val="00BD29C7"/>
    <w:rsid w:val="00BD3032"/>
    <w:rsid w:val="00BD4904"/>
    <w:rsid w:val="00BD4A20"/>
    <w:rsid w:val="00BD588F"/>
    <w:rsid w:val="00BD6038"/>
    <w:rsid w:val="00BD78F1"/>
    <w:rsid w:val="00BE00CF"/>
    <w:rsid w:val="00BE1BC8"/>
    <w:rsid w:val="00BE2D62"/>
    <w:rsid w:val="00BE5616"/>
    <w:rsid w:val="00BE5BA1"/>
    <w:rsid w:val="00BE5DF5"/>
    <w:rsid w:val="00BE6A61"/>
    <w:rsid w:val="00BE6DD0"/>
    <w:rsid w:val="00BF070C"/>
    <w:rsid w:val="00BF2047"/>
    <w:rsid w:val="00BF39E6"/>
    <w:rsid w:val="00BF5CB3"/>
    <w:rsid w:val="00BF73A5"/>
    <w:rsid w:val="00C0123B"/>
    <w:rsid w:val="00C016A6"/>
    <w:rsid w:val="00C01A87"/>
    <w:rsid w:val="00C02F62"/>
    <w:rsid w:val="00C03283"/>
    <w:rsid w:val="00C03A32"/>
    <w:rsid w:val="00C04CCA"/>
    <w:rsid w:val="00C10C21"/>
    <w:rsid w:val="00C10F2E"/>
    <w:rsid w:val="00C1382F"/>
    <w:rsid w:val="00C13F6F"/>
    <w:rsid w:val="00C14256"/>
    <w:rsid w:val="00C14F52"/>
    <w:rsid w:val="00C15839"/>
    <w:rsid w:val="00C20CC3"/>
    <w:rsid w:val="00C21ED0"/>
    <w:rsid w:val="00C2363C"/>
    <w:rsid w:val="00C25F64"/>
    <w:rsid w:val="00C26C45"/>
    <w:rsid w:val="00C26C5B"/>
    <w:rsid w:val="00C30480"/>
    <w:rsid w:val="00C31EBC"/>
    <w:rsid w:val="00C33B66"/>
    <w:rsid w:val="00C33FD3"/>
    <w:rsid w:val="00C34055"/>
    <w:rsid w:val="00C34E5A"/>
    <w:rsid w:val="00C34F46"/>
    <w:rsid w:val="00C36F61"/>
    <w:rsid w:val="00C422BD"/>
    <w:rsid w:val="00C42B06"/>
    <w:rsid w:val="00C43646"/>
    <w:rsid w:val="00C44294"/>
    <w:rsid w:val="00C44669"/>
    <w:rsid w:val="00C454D3"/>
    <w:rsid w:val="00C45567"/>
    <w:rsid w:val="00C464EB"/>
    <w:rsid w:val="00C465EB"/>
    <w:rsid w:val="00C46F69"/>
    <w:rsid w:val="00C475E7"/>
    <w:rsid w:val="00C47AA7"/>
    <w:rsid w:val="00C5092F"/>
    <w:rsid w:val="00C5098E"/>
    <w:rsid w:val="00C53C39"/>
    <w:rsid w:val="00C5548F"/>
    <w:rsid w:val="00C554E8"/>
    <w:rsid w:val="00C55867"/>
    <w:rsid w:val="00C56856"/>
    <w:rsid w:val="00C602C1"/>
    <w:rsid w:val="00C6283F"/>
    <w:rsid w:val="00C63ECF"/>
    <w:rsid w:val="00C702B9"/>
    <w:rsid w:val="00C717F5"/>
    <w:rsid w:val="00C73824"/>
    <w:rsid w:val="00C7474E"/>
    <w:rsid w:val="00C74ADA"/>
    <w:rsid w:val="00C752B1"/>
    <w:rsid w:val="00C7538F"/>
    <w:rsid w:val="00C7620D"/>
    <w:rsid w:val="00C76ECA"/>
    <w:rsid w:val="00C77162"/>
    <w:rsid w:val="00C77D6A"/>
    <w:rsid w:val="00C82487"/>
    <w:rsid w:val="00C82764"/>
    <w:rsid w:val="00C83D20"/>
    <w:rsid w:val="00C85D7E"/>
    <w:rsid w:val="00C85EB7"/>
    <w:rsid w:val="00C8684A"/>
    <w:rsid w:val="00C92852"/>
    <w:rsid w:val="00C92BDE"/>
    <w:rsid w:val="00C92F8F"/>
    <w:rsid w:val="00C93AF3"/>
    <w:rsid w:val="00C95847"/>
    <w:rsid w:val="00CA0D12"/>
    <w:rsid w:val="00CA10D6"/>
    <w:rsid w:val="00CA1A2D"/>
    <w:rsid w:val="00CA31B2"/>
    <w:rsid w:val="00CA548D"/>
    <w:rsid w:val="00CA5661"/>
    <w:rsid w:val="00CA6239"/>
    <w:rsid w:val="00CB0667"/>
    <w:rsid w:val="00CB0AC0"/>
    <w:rsid w:val="00CB0BA0"/>
    <w:rsid w:val="00CB18ED"/>
    <w:rsid w:val="00CB47E4"/>
    <w:rsid w:val="00CB683B"/>
    <w:rsid w:val="00CB7262"/>
    <w:rsid w:val="00CC0725"/>
    <w:rsid w:val="00CC3528"/>
    <w:rsid w:val="00CC3D6B"/>
    <w:rsid w:val="00CC449B"/>
    <w:rsid w:val="00CC5D8F"/>
    <w:rsid w:val="00CD0875"/>
    <w:rsid w:val="00CD1181"/>
    <w:rsid w:val="00CD27FA"/>
    <w:rsid w:val="00CD2C3C"/>
    <w:rsid w:val="00CD3C4E"/>
    <w:rsid w:val="00CD407B"/>
    <w:rsid w:val="00CD6C6D"/>
    <w:rsid w:val="00CD6E54"/>
    <w:rsid w:val="00CE1EB0"/>
    <w:rsid w:val="00CE23DE"/>
    <w:rsid w:val="00CE260A"/>
    <w:rsid w:val="00CE2904"/>
    <w:rsid w:val="00CE3E43"/>
    <w:rsid w:val="00CE4C99"/>
    <w:rsid w:val="00CE562D"/>
    <w:rsid w:val="00CE7DAE"/>
    <w:rsid w:val="00CF09DE"/>
    <w:rsid w:val="00CF181E"/>
    <w:rsid w:val="00CF250C"/>
    <w:rsid w:val="00CF35DB"/>
    <w:rsid w:val="00CF37CA"/>
    <w:rsid w:val="00CF3C19"/>
    <w:rsid w:val="00CF4046"/>
    <w:rsid w:val="00CF4B8B"/>
    <w:rsid w:val="00CF5B13"/>
    <w:rsid w:val="00CF7F16"/>
    <w:rsid w:val="00D0249D"/>
    <w:rsid w:val="00D03608"/>
    <w:rsid w:val="00D04462"/>
    <w:rsid w:val="00D04E9A"/>
    <w:rsid w:val="00D06B68"/>
    <w:rsid w:val="00D07210"/>
    <w:rsid w:val="00D0799A"/>
    <w:rsid w:val="00D13E87"/>
    <w:rsid w:val="00D141D3"/>
    <w:rsid w:val="00D1482C"/>
    <w:rsid w:val="00D14F1D"/>
    <w:rsid w:val="00D16E8A"/>
    <w:rsid w:val="00D176C7"/>
    <w:rsid w:val="00D17FE2"/>
    <w:rsid w:val="00D200A1"/>
    <w:rsid w:val="00D202DD"/>
    <w:rsid w:val="00D20699"/>
    <w:rsid w:val="00D22DD8"/>
    <w:rsid w:val="00D241CC"/>
    <w:rsid w:val="00D24D94"/>
    <w:rsid w:val="00D26758"/>
    <w:rsid w:val="00D2697B"/>
    <w:rsid w:val="00D26BD5"/>
    <w:rsid w:val="00D30CA1"/>
    <w:rsid w:val="00D30F45"/>
    <w:rsid w:val="00D337D7"/>
    <w:rsid w:val="00D34982"/>
    <w:rsid w:val="00D3509F"/>
    <w:rsid w:val="00D40B58"/>
    <w:rsid w:val="00D40FF2"/>
    <w:rsid w:val="00D42867"/>
    <w:rsid w:val="00D432FA"/>
    <w:rsid w:val="00D45298"/>
    <w:rsid w:val="00D45E3E"/>
    <w:rsid w:val="00D45FDD"/>
    <w:rsid w:val="00D46201"/>
    <w:rsid w:val="00D47BC9"/>
    <w:rsid w:val="00D50ED6"/>
    <w:rsid w:val="00D55674"/>
    <w:rsid w:val="00D561BC"/>
    <w:rsid w:val="00D57CDF"/>
    <w:rsid w:val="00D607F4"/>
    <w:rsid w:val="00D6238E"/>
    <w:rsid w:val="00D62610"/>
    <w:rsid w:val="00D630FB"/>
    <w:rsid w:val="00D642E7"/>
    <w:rsid w:val="00D6487B"/>
    <w:rsid w:val="00D664DD"/>
    <w:rsid w:val="00D72233"/>
    <w:rsid w:val="00D722ED"/>
    <w:rsid w:val="00D7607D"/>
    <w:rsid w:val="00D766EF"/>
    <w:rsid w:val="00D77350"/>
    <w:rsid w:val="00D8265E"/>
    <w:rsid w:val="00D82F4A"/>
    <w:rsid w:val="00D8400A"/>
    <w:rsid w:val="00D86FC2"/>
    <w:rsid w:val="00D87DD0"/>
    <w:rsid w:val="00D90168"/>
    <w:rsid w:val="00D9100A"/>
    <w:rsid w:val="00D91221"/>
    <w:rsid w:val="00D91530"/>
    <w:rsid w:val="00D94281"/>
    <w:rsid w:val="00D9477E"/>
    <w:rsid w:val="00D94F76"/>
    <w:rsid w:val="00D94FB8"/>
    <w:rsid w:val="00D97CD3"/>
    <w:rsid w:val="00DA05AD"/>
    <w:rsid w:val="00DA13C1"/>
    <w:rsid w:val="00DA2046"/>
    <w:rsid w:val="00DA2AAE"/>
    <w:rsid w:val="00DA45D9"/>
    <w:rsid w:val="00DA5D06"/>
    <w:rsid w:val="00DA7F0E"/>
    <w:rsid w:val="00DB0555"/>
    <w:rsid w:val="00DB10F1"/>
    <w:rsid w:val="00DB2869"/>
    <w:rsid w:val="00DB2C4C"/>
    <w:rsid w:val="00DB3667"/>
    <w:rsid w:val="00DB3F9A"/>
    <w:rsid w:val="00DB40C6"/>
    <w:rsid w:val="00DB43C8"/>
    <w:rsid w:val="00DB48F3"/>
    <w:rsid w:val="00DB534F"/>
    <w:rsid w:val="00DC0CBC"/>
    <w:rsid w:val="00DC1B22"/>
    <w:rsid w:val="00DC2122"/>
    <w:rsid w:val="00DC515C"/>
    <w:rsid w:val="00DC573D"/>
    <w:rsid w:val="00DC66F3"/>
    <w:rsid w:val="00DC78B1"/>
    <w:rsid w:val="00DD1631"/>
    <w:rsid w:val="00DD2B2B"/>
    <w:rsid w:val="00DD4714"/>
    <w:rsid w:val="00DD4B1F"/>
    <w:rsid w:val="00DD4D51"/>
    <w:rsid w:val="00DD545C"/>
    <w:rsid w:val="00DD64E5"/>
    <w:rsid w:val="00DD682C"/>
    <w:rsid w:val="00DD6B63"/>
    <w:rsid w:val="00DD72D6"/>
    <w:rsid w:val="00DD76A7"/>
    <w:rsid w:val="00DD7927"/>
    <w:rsid w:val="00DD7EB2"/>
    <w:rsid w:val="00DE5ABE"/>
    <w:rsid w:val="00DE78D3"/>
    <w:rsid w:val="00DF0C19"/>
    <w:rsid w:val="00DF1382"/>
    <w:rsid w:val="00DF1436"/>
    <w:rsid w:val="00DF1D48"/>
    <w:rsid w:val="00DF2B43"/>
    <w:rsid w:val="00DF330F"/>
    <w:rsid w:val="00DF33D3"/>
    <w:rsid w:val="00DF4241"/>
    <w:rsid w:val="00DF45C6"/>
    <w:rsid w:val="00DF47EF"/>
    <w:rsid w:val="00DF65F6"/>
    <w:rsid w:val="00DF74DF"/>
    <w:rsid w:val="00E001B6"/>
    <w:rsid w:val="00E010E6"/>
    <w:rsid w:val="00E018EB"/>
    <w:rsid w:val="00E0295D"/>
    <w:rsid w:val="00E02AB2"/>
    <w:rsid w:val="00E03F9C"/>
    <w:rsid w:val="00E04318"/>
    <w:rsid w:val="00E0634C"/>
    <w:rsid w:val="00E07D50"/>
    <w:rsid w:val="00E11308"/>
    <w:rsid w:val="00E121ED"/>
    <w:rsid w:val="00E1307B"/>
    <w:rsid w:val="00E1460E"/>
    <w:rsid w:val="00E147A3"/>
    <w:rsid w:val="00E14F72"/>
    <w:rsid w:val="00E15230"/>
    <w:rsid w:val="00E152AF"/>
    <w:rsid w:val="00E16306"/>
    <w:rsid w:val="00E16978"/>
    <w:rsid w:val="00E171D3"/>
    <w:rsid w:val="00E17B22"/>
    <w:rsid w:val="00E20BD2"/>
    <w:rsid w:val="00E22894"/>
    <w:rsid w:val="00E229ED"/>
    <w:rsid w:val="00E253C0"/>
    <w:rsid w:val="00E2646D"/>
    <w:rsid w:val="00E26A03"/>
    <w:rsid w:val="00E31CDF"/>
    <w:rsid w:val="00E31EFB"/>
    <w:rsid w:val="00E32AEC"/>
    <w:rsid w:val="00E330A4"/>
    <w:rsid w:val="00E348E5"/>
    <w:rsid w:val="00E34EEA"/>
    <w:rsid w:val="00E3573A"/>
    <w:rsid w:val="00E35C3F"/>
    <w:rsid w:val="00E35C69"/>
    <w:rsid w:val="00E37410"/>
    <w:rsid w:val="00E3776F"/>
    <w:rsid w:val="00E37937"/>
    <w:rsid w:val="00E37DAC"/>
    <w:rsid w:val="00E40CC1"/>
    <w:rsid w:val="00E425DB"/>
    <w:rsid w:val="00E43A91"/>
    <w:rsid w:val="00E4476B"/>
    <w:rsid w:val="00E44F98"/>
    <w:rsid w:val="00E45372"/>
    <w:rsid w:val="00E4551E"/>
    <w:rsid w:val="00E461C8"/>
    <w:rsid w:val="00E46F21"/>
    <w:rsid w:val="00E50CC9"/>
    <w:rsid w:val="00E51232"/>
    <w:rsid w:val="00E53658"/>
    <w:rsid w:val="00E53DE5"/>
    <w:rsid w:val="00E54E66"/>
    <w:rsid w:val="00E55450"/>
    <w:rsid w:val="00E576CA"/>
    <w:rsid w:val="00E57B12"/>
    <w:rsid w:val="00E611DB"/>
    <w:rsid w:val="00E61AA6"/>
    <w:rsid w:val="00E61E77"/>
    <w:rsid w:val="00E64B90"/>
    <w:rsid w:val="00E6505A"/>
    <w:rsid w:val="00E65619"/>
    <w:rsid w:val="00E65E29"/>
    <w:rsid w:val="00E700BE"/>
    <w:rsid w:val="00E70C5F"/>
    <w:rsid w:val="00E715F6"/>
    <w:rsid w:val="00E73E0E"/>
    <w:rsid w:val="00E7411E"/>
    <w:rsid w:val="00E7586D"/>
    <w:rsid w:val="00E83ED3"/>
    <w:rsid w:val="00E878E4"/>
    <w:rsid w:val="00E9175E"/>
    <w:rsid w:val="00E91795"/>
    <w:rsid w:val="00E91AF0"/>
    <w:rsid w:val="00E93EA6"/>
    <w:rsid w:val="00E94BD2"/>
    <w:rsid w:val="00E96CD3"/>
    <w:rsid w:val="00E96EF6"/>
    <w:rsid w:val="00E97172"/>
    <w:rsid w:val="00E97916"/>
    <w:rsid w:val="00E97A89"/>
    <w:rsid w:val="00EA2D56"/>
    <w:rsid w:val="00EA522F"/>
    <w:rsid w:val="00EB026D"/>
    <w:rsid w:val="00EB068B"/>
    <w:rsid w:val="00EB3383"/>
    <w:rsid w:val="00EB62BE"/>
    <w:rsid w:val="00EB63BB"/>
    <w:rsid w:val="00EB6A4E"/>
    <w:rsid w:val="00EC1D98"/>
    <w:rsid w:val="00EC2E96"/>
    <w:rsid w:val="00EC4910"/>
    <w:rsid w:val="00EC603A"/>
    <w:rsid w:val="00EC6831"/>
    <w:rsid w:val="00EC7DB7"/>
    <w:rsid w:val="00ED09B6"/>
    <w:rsid w:val="00ED0B81"/>
    <w:rsid w:val="00ED29F8"/>
    <w:rsid w:val="00ED2E49"/>
    <w:rsid w:val="00ED2F98"/>
    <w:rsid w:val="00ED565E"/>
    <w:rsid w:val="00ED5AC0"/>
    <w:rsid w:val="00ED7958"/>
    <w:rsid w:val="00ED7D65"/>
    <w:rsid w:val="00EE0152"/>
    <w:rsid w:val="00EE0FCA"/>
    <w:rsid w:val="00EE18C0"/>
    <w:rsid w:val="00EE3D0A"/>
    <w:rsid w:val="00EE3DA1"/>
    <w:rsid w:val="00EE73BA"/>
    <w:rsid w:val="00EE79F0"/>
    <w:rsid w:val="00EF06A5"/>
    <w:rsid w:val="00EF1C4C"/>
    <w:rsid w:val="00EF329A"/>
    <w:rsid w:val="00EF36A0"/>
    <w:rsid w:val="00EF39D0"/>
    <w:rsid w:val="00EF445F"/>
    <w:rsid w:val="00EF72E1"/>
    <w:rsid w:val="00F00219"/>
    <w:rsid w:val="00F018C2"/>
    <w:rsid w:val="00F01E5C"/>
    <w:rsid w:val="00F0222B"/>
    <w:rsid w:val="00F02900"/>
    <w:rsid w:val="00F02F8D"/>
    <w:rsid w:val="00F030FA"/>
    <w:rsid w:val="00F03BE7"/>
    <w:rsid w:val="00F04009"/>
    <w:rsid w:val="00F04298"/>
    <w:rsid w:val="00F05246"/>
    <w:rsid w:val="00F0602E"/>
    <w:rsid w:val="00F1172D"/>
    <w:rsid w:val="00F12F42"/>
    <w:rsid w:val="00F1376D"/>
    <w:rsid w:val="00F15953"/>
    <w:rsid w:val="00F15B85"/>
    <w:rsid w:val="00F1620B"/>
    <w:rsid w:val="00F16DFA"/>
    <w:rsid w:val="00F200B6"/>
    <w:rsid w:val="00F21308"/>
    <w:rsid w:val="00F213D8"/>
    <w:rsid w:val="00F218AE"/>
    <w:rsid w:val="00F21F80"/>
    <w:rsid w:val="00F21FCA"/>
    <w:rsid w:val="00F2214B"/>
    <w:rsid w:val="00F221A9"/>
    <w:rsid w:val="00F2284E"/>
    <w:rsid w:val="00F24010"/>
    <w:rsid w:val="00F25805"/>
    <w:rsid w:val="00F25B4A"/>
    <w:rsid w:val="00F2787C"/>
    <w:rsid w:val="00F30818"/>
    <w:rsid w:val="00F31B25"/>
    <w:rsid w:val="00F31F8E"/>
    <w:rsid w:val="00F322BC"/>
    <w:rsid w:val="00F328D6"/>
    <w:rsid w:val="00F33239"/>
    <w:rsid w:val="00F33D5F"/>
    <w:rsid w:val="00F34FDD"/>
    <w:rsid w:val="00F34FFC"/>
    <w:rsid w:val="00F35117"/>
    <w:rsid w:val="00F352A5"/>
    <w:rsid w:val="00F354C7"/>
    <w:rsid w:val="00F414A7"/>
    <w:rsid w:val="00F427AC"/>
    <w:rsid w:val="00F447B2"/>
    <w:rsid w:val="00F46F71"/>
    <w:rsid w:val="00F4769A"/>
    <w:rsid w:val="00F47949"/>
    <w:rsid w:val="00F479BC"/>
    <w:rsid w:val="00F52776"/>
    <w:rsid w:val="00F53F64"/>
    <w:rsid w:val="00F56378"/>
    <w:rsid w:val="00F57B00"/>
    <w:rsid w:val="00F60804"/>
    <w:rsid w:val="00F61368"/>
    <w:rsid w:val="00F627C9"/>
    <w:rsid w:val="00F63902"/>
    <w:rsid w:val="00F639D6"/>
    <w:rsid w:val="00F64A4F"/>
    <w:rsid w:val="00F651D1"/>
    <w:rsid w:val="00F6570E"/>
    <w:rsid w:val="00F674E6"/>
    <w:rsid w:val="00F67FAD"/>
    <w:rsid w:val="00F70249"/>
    <w:rsid w:val="00F71BA2"/>
    <w:rsid w:val="00F71C67"/>
    <w:rsid w:val="00F75251"/>
    <w:rsid w:val="00F75506"/>
    <w:rsid w:val="00F76178"/>
    <w:rsid w:val="00F76624"/>
    <w:rsid w:val="00F771F1"/>
    <w:rsid w:val="00F77781"/>
    <w:rsid w:val="00F77F16"/>
    <w:rsid w:val="00F83862"/>
    <w:rsid w:val="00F842B0"/>
    <w:rsid w:val="00F8453B"/>
    <w:rsid w:val="00F85C13"/>
    <w:rsid w:val="00F866D1"/>
    <w:rsid w:val="00F90F17"/>
    <w:rsid w:val="00F90F66"/>
    <w:rsid w:val="00F91675"/>
    <w:rsid w:val="00F91BAE"/>
    <w:rsid w:val="00F96205"/>
    <w:rsid w:val="00FA02E2"/>
    <w:rsid w:val="00FA04DD"/>
    <w:rsid w:val="00FA09F3"/>
    <w:rsid w:val="00FA0DE8"/>
    <w:rsid w:val="00FA1AF5"/>
    <w:rsid w:val="00FA2940"/>
    <w:rsid w:val="00FA2A7D"/>
    <w:rsid w:val="00FA4235"/>
    <w:rsid w:val="00FA5141"/>
    <w:rsid w:val="00FA59BE"/>
    <w:rsid w:val="00FA5B26"/>
    <w:rsid w:val="00FA697E"/>
    <w:rsid w:val="00FA7BB4"/>
    <w:rsid w:val="00FB3A65"/>
    <w:rsid w:val="00FB484E"/>
    <w:rsid w:val="00FB5589"/>
    <w:rsid w:val="00FB7CBD"/>
    <w:rsid w:val="00FB7DEF"/>
    <w:rsid w:val="00FC1A5C"/>
    <w:rsid w:val="00FC1F4C"/>
    <w:rsid w:val="00FC340C"/>
    <w:rsid w:val="00FC4578"/>
    <w:rsid w:val="00FC4762"/>
    <w:rsid w:val="00FC5713"/>
    <w:rsid w:val="00FC5F6B"/>
    <w:rsid w:val="00FC626E"/>
    <w:rsid w:val="00FC7556"/>
    <w:rsid w:val="00FC7C1F"/>
    <w:rsid w:val="00FD2159"/>
    <w:rsid w:val="00FD40C9"/>
    <w:rsid w:val="00FD4174"/>
    <w:rsid w:val="00FD4542"/>
    <w:rsid w:val="00FD45D3"/>
    <w:rsid w:val="00FD6B4F"/>
    <w:rsid w:val="00FD7F60"/>
    <w:rsid w:val="00FE0AD8"/>
    <w:rsid w:val="00FE12C4"/>
    <w:rsid w:val="00FE413E"/>
    <w:rsid w:val="00FE6539"/>
    <w:rsid w:val="00FE7070"/>
    <w:rsid w:val="00FF33C7"/>
    <w:rsid w:val="00FF58F7"/>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EF8AC2-CF6E-4B0A-BE90-B3D45963D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2F75"/>
    <w:rPr>
      <w:noProof/>
      <w:lang w:val="bs-Latn-BA"/>
    </w:rPr>
  </w:style>
  <w:style w:type="paragraph" w:styleId="Heading2">
    <w:name w:val="heading 2"/>
    <w:aliases w:val="Text Char,Text"/>
    <w:basedOn w:val="Normal"/>
    <w:next w:val="Normal"/>
    <w:link w:val="Heading2Char"/>
    <w:qFormat/>
    <w:rsid w:val="00761741"/>
    <w:pPr>
      <w:keepNext/>
      <w:keepLines/>
      <w:spacing w:before="200" w:after="0"/>
      <w:outlineLvl w:val="1"/>
    </w:pPr>
    <w:rPr>
      <w:rFonts w:ascii="Cambria" w:eastAsia="Times New Roman" w:hAnsi="Cambria" w:cs="Times New Roman"/>
      <w:b/>
      <w:bCs/>
      <w:noProof w:val="0"/>
      <w:color w:val="4F81BD"/>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99"/>
    <w:qFormat/>
    <w:rsid w:val="000500BA"/>
    <w:pPr>
      <w:spacing w:after="0" w:line="240" w:lineRule="auto"/>
    </w:pPr>
    <w:rPr>
      <w:rFonts w:eastAsiaTheme="minorEastAsia"/>
    </w:rPr>
  </w:style>
  <w:style w:type="character" w:customStyle="1" w:styleId="NoSpacingChar">
    <w:name w:val="No Spacing Char"/>
    <w:basedOn w:val="DefaultParagraphFont"/>
    <w:link w:val="NoSpacing"/>
    <w:uiPriority w:val="1"/>
    <w:rsid w:val="000500BA"/>
    <w:rPr>
      <w:rFonts w:eastAsiaTheme="minorEastAsia"/>
    </w:rPr>
  </w:style>
  <w:style w:type="paragraph" w:styleId="BalloonText">
    <w:name w:val="Balloon Text"/>
    <w:basedOn w:val="Normal"/>
    <w:link w:val="BalloonTextChar"/>
    <w:uiPriority w:val="99"/>
    <w:semiHidden/>
    <w:unhideWhenUsed/>
    <w:rsid w:val="000500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00BA"/>
    <w:rPr>
      <w:rFonts w:ascii="Tahoma" w:hAnsi="Tahoma" w:cs="Tahoma"/>
      <w:noProof/>
      <w:sz w:val="16"/>
      <w:szCs w:val="16"/>
      <w:lang w:val="bs-Latn-BA"/>
    </w:rPr>
  </w:style>
  <w:style w:type="paragraph" w:styleId="Header">
    <w:name w:val="header"/>
    <w:basedOn w:val="Normal"/>
    <w:link w:val="HeaderChar"/>
    <w:unhideWhenUsed/>
    <w:rsid w:val="00FA0DE8"/>
    <w:pPr>
      <w:tabs>
        <w:tab w:val="center" w:pos="4680"/>
        <w:tab w:val="right" w:pos="9360"/>
      </w:tabs>
      <w:spacing w:after="0" w:line="240" w:lineRule="auto"/>
    </w:pPr>
  </w:style>
  <w:style w:type="character" w:customStyle="1" w:styleId="HeaderChar">
    <w:name w:val="Header Char"/>
    <w:basedOn w:val="DefaultParagraphFont"/>
    <w:link w:val="Header"/>
    <w:rsid w:val="00FA0DE8"/>
    <w:rPr>
      <w:noProof/>
      <w:lang w:val="bs-Latn-BA"/>
    </w:rPr>
  </w:style>
  <w:style w:type="paragraph" w:styleId="Footer">
    <w:name w:val="footer"/>
    <w:basedOn w:val="Normal"/>
    <w:link w:val="FooterChar"/>
    <w:uiPriority w:val="99"/>
    <w:unhideWhenUsed/>
    <w:rsid w:val="00FA0D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0DE8"/>
    <w:rPr>
      <w:noProof/>
      <w:lang w:val="bs-Latn-BA"/>
    </w:rPr>
  </w:style>
  <w:style w:type="paragraph" w:styleId="ListParagraph">
    <w:name w:val="List Paragraph"/>
    <w:basedOn w:val="Normal"/>
    <w:uiPriority w:val="34"/>
    <w:qFormat/>
    <w:rsid w:val="00A378BF"/>
    <w:pPr>
      <w:ind w:left="720"/>
      <w:contextualSpacing/>
    </w:pPr>
  </w:style>
  <w:style w:type="paragraph" w:styleId="FootnoteText">
    <w:name w:val="footnote text"/>
    <w:aliases w:val="Footnote Text Char1 Char,Footnote Text Char Char1 Char, Char1 Char Char1 Char,Footnote Text Char Char Char Char, Char1 Char Char Char Char, Char Char Char Char,List Bullet Char1 Char,List Bullet Char Char Char,Footnote Text Char1,Char,fn"/>
    <w:basedOn w:val="Normal"/>
    <w:link w:val="FootnoteTextChar"/>
    <w:uiPriority w:val="99"/>
    <w:unhideWhenUsed/>
    <w:rsid w:val="001B4417"/>
    <w:pPr>
      <w:spacing w:after="0" w:line="240" w:lineRule="auto"/>
    </w:pPr>
    <w:rPr>
      <w:sz w:val="20"/>
      <w:szCs w:val="20"/>
    </w:rPr>
  </w:style>
  <w:style w:type="character" w:customStyle="1" w:styleId="FootnoteTextChar">
    <w:name w:val="Footnote Text Char"/>
    <w:aliases w:val="Footnote Text Char1 Char Char,Footnote Text Char Char1 Char Char, Char1 Char Char1 Char Char,Footnote Text Char Char Char Char Char, Char1 Char Char Char Char Char, Char Char Char Char Char,List Bullet Char1 Char Char,Char Char"/>
    <w:basedOn w:val="DefaultParagraphFont"/>
    <w:link w:val="FootnoteText"/>
    <w:uiPriority w:val="99"/>
    <w:rsid w:val="001B4417"/>
    <w:rPr>
      <w:noProof/>
      <w:sz w:val="20"/>
      <w:szCs w:val="20"/>
      <w:lang w:val="bs-Latn-BA"/>
    </w:rPr>
  </w:style>
  <w:style w:type="character" w:styleId="FootnoteReference">
    <w:name w:val="footnote reference"/>
    <w:aliases w:val="ftref,Footnote Reference Superscript"/>
    <w:basedOn w:val="DefaultParagraphFont"/>
    <w:uiPriority w:val="99"/>
    <w:unhideWhenUsed/>
    <w:rsid w:val="001B4417"/>
    <w:rPr>
      <w:vertAlign w:val="superscript"/>
    </w:rPr>
  </w:style>
  <w:style w:type="paragraph" w:styleId="BodyText">
    <w:name w:val="Body Text"/>
    <w:basedOn w:val="Normal"/>
    <w:link w:val="BodyTextChar"/>
    <w:rsid w:val="008D7745"/>
    <w:pPr>
      <w:spacing w:after="0" w:line="240" w:lineRule="auto"/>
      <w:jc w:val="both"/>
    </w:pPr>
    <w:rPr>
      <w:rFonts w:ascii="Times New Roman" w:eastAsia="Times New Roman" w:hAnsi="Times New Roman" w:cs="Times New Roman"/>
      <w:noProof w:val="0"/>
      <w:szCs w:val="20"/>
      <w:lang w:val="hr-HR" w:eastAsia="hr-HR"/>
    </w:rPr>
  </w:style>
  <w:style w:type="character" w:customStyle="1" w:styleId="BodyTextChar">
    <w:name w:val="Body Text Char"/>
    <w:basedOn w:val="DefaultParagraphFont"/>
    <w:link w:val="BodyText"/>
    <w:rsid w:val="008D7745"/>
    <w:rPr>
      <w:rFonts w:ascii="Times New Roman" w:eastAsia="Times New Roman" w:hAnsi="Times New Roman" w:cs="Times New Roman"/>
      <w:szCs w:val="20"/>
      <w:lang w:val="hr-HR" w:eastAsia="hr-HR"/>
    </w:rPr>
  </w:style>
  <w:style w:type="paragraph" w:styleId="BodyText2">
    <w:name w:val="Body Text 2"/>
    <w:basedOn w:val="Normal"/>
    <w:link w:val="BodyText2Char"/>
    <w:uiPriority w:val="99"/>
    <w:semiHidden/>
    <w:unhideWhenUsed/>
    <w:rsid w:val="00A92EED"/>
    <w:pPr>
      <w:spacing w:after="120" w:line="480" w:lineRule="auto"/>
    </w:pPr>
  </w:style>
  <w:style w:type="character" w:customStyle="1" w:styleId="BodyText2Char">
    <w:name w:val="Body Text 2 Char"/>
    <w:basedOn w:val="DefaultParagraphFont"/>
    <w:link w:val="BodyText2"/>
    <w:uiPriority w:val="99"/>
    <w:semiHidden/>
    <w:rsid w:val="00A92EED"/>
    <w:rPr>
      <w:noProof/>
      <w:lang w:val="bs-Latn-BA"/>
    </w:rPr>
  </w:style>
  <w:style w:type="character" w:customStyle="1" w:styleId="Heading2Char">
    <w:name w:val="Heading 2 Char"/>
    <w:aliases w:val="Text Char Char,Text Char1"/>
    <w:basedOn w:val="DefaultParagraphFont"/>
    <w:link w:val="Heading2"/>
    <w:rsid w:val="00761741"/>
    <w:rPr>
      <w:rFonts w:ascii="Cambria" w:eastAsia="Times New Roman" w:hAnsi="Cambria" w:cs="Times New Roman"/>
      <w:b/>
      <w:bCs/>
      <w:color w:val="4F81BD"/>
      <w:sz w:val="26"/>
      <w:szCs w:val="26"/>
    </w:rPr>
  </w:style>
  <w:style w:type="paragraph" w:styleId="ListBullet">
    <w:name w:val="List Bullet"/>
    <w:aliases w:val=" Char"/>
    <w:basedOn w:val="Normal"/>
    <w:link w:val="ListBulletChar"/>
    <w:qFormat/>
    <w:rsid w:val="00E34EEA"/>
    <w:pPr>
      <w:numPr>
        <w:numId w:val="2"/>
      </w:numPr>
      <w:spacing w:after="240" w:line="264" w:lineRule="auto"/>
    </w:pPr>
    <w:rPr>
      <w:rFonts w:ascii="Times New Roman" w:eastAsia="Times New Roman" w:hAnsi="Times New Roman" w:cs="Times New Roman"/>
      <w:noProof w:val="0"/>
      <w:sz w:val="24"/>
      <w:szCs w:val="24"/>
      <w:lang w:val="en-US"/>
    </w:rPr>
  </w:style>
  <w:style w:type="character" w:customStyle="1" w:styleId="ListBulletChar">
    <w:name w:val="List Bullet Char"/>
    <w:aliases w:val=" Char Char"/>
    <w:link w:val="ListBullet"/>
    <w:rsid w:val="00E34EEA"/>
    <w:rPr>
      <w:rFonts w:ascii="Times New Roman" w:eastAsia="Times New Roman" w:hAnsi="Times New Roman" w:cs="Times New Roman"/>
      <w:sz w:val="24"/>
      <w:szCs w:val="24"/>
    </w:rPr>
  </w:style>
  <w:style w:type="table" w:styleId="TableGrid">
    <w:name w:val="Table Grid"/>
    <w:basedOn w:val="TableNormal"/>
    <w:uiPriority w:val="59"/>
    <w:rsid w:val="00DF47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4">
    <w:name w:val="Light Shading Accent 4"/>
    <w:basedOn w:val="TableNormal"/>
    <w:uiPriority w:val="60"/>
    <w:rsid w:val="004F6AD8"/>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TableofFigures">
    <w:name w:val="table of figures"/>
    <w:basedOn w:val="Normal"/>
    <w:next w:val="Normal"/>
    <w:uiPriority w:val="99"/>
    <w:unhideWhenUsed/>
    <w:rsid w:val="00D82F4A"/>
    <w:pPr>
      <w:spacing w:after="0"/>
      <w:ind w:left="440" w:hanging="440"/>
    </w:pPr>
    <w:rPr>
      <w:rFonts w:cstheme="minorHAnsi"/>
      <w:b/>
      <w:bCs/>
      <w:sz w:val="20"/>
      <w:szCs w:val="20"/>
    </w:rPr>
  </w:style>
  <w:style w:type="paragraph" w:customStyle="1" w:styleId="ParagraphNumbering">
    <w:name w:val="Paragraph Numbering"/>
    <w:basedOn w:val="Normal"/>
    <w:link w:val="ParagraphNumberingChar"/>
    <w:uiPriority w:val="99"/>
    <w:rsid w:val="00DB3667"/>
    <w:pPr>
      <w:tabs>
        <w:tab w:val="num" w:pos="720"/>
      </w:tabs>
      <w:spacing w:after="240" w:line="300" w:lineRule="exact"/>
      <w:ind w:left="720" w:hanging="720"/>
    </w:pPr>
    <w:rPr>
      <w:rFonts w:ascii="Segoe UI" w:eastAsia="MS Mincho" w:hAnsi="Segoe UI" w:cs="Times New Roman"/>
      <w:noProof w:val="0"/>
      <w:sz w:val="21"/>
      <w:szCs w:val="24"/>
      <w:lang w:val="en-US"/>
    </w:rPr>
  </w:style>
  <w:style w:type="character" w:customStyle="1" w:styleId="ParagraphNumberingChar">
    <w:name w:val="Paragraph Numbering Char"/>
    <w:basedOn w:val="DefaultParagraphFont"/>
    <w:link w:val="ParagraphNumbering"/>
    <w:uiPriority w:val="99"/>
    <w:locked/>
    <w:rsid w:val="00DB3667"/>
    <w:rPr>
      <w:rFonts w:ascii="Segoe UI" w:eastAsia="MS Mincho" w:hAnsi="Segoe UI" w:cs="Times New Roman"/>
      <w:sz w:val="21"/>
      <w:szCs w:val="24"/>
    </w:rPr>
  </w:style>
  <w:style w:type="paragraph" w:customStyle="1" w:styleId="Default">
    <w:name w:val="Default"/>
    <w:link w:val="DefaultChar"/>
    <w:rsid w:val="007418F8"/>
    <w:pPr>
      <w:autoSpaceDE w:val="0"/>
      <w:autoSpaceDN w:val="0"/>
      <w:adjustRightInd w:val="0"/>
      <w:spacing w:after="0" w:line="240" w:lineRule="auto"/>
    </w:pPr>
    <w:rPr>
      <w:rFonts w:ascii="Arial" w:hAnsi="Arial" w:cs="Arial"/>
      <w:color w:val="000000"/>
      <w:sz w:val="24"/>
      <w:szCs w:val="24"/>
    </w:rPr>
  </w:style>
  <w:style w:type="paragraph" w:styleId="Caption">
    <w:name w:val="caption"/>
    <w:basedOn w:val="Normal"/>
    <w:next w:val="Normal"/>
    <w:uiPriority w:val="35"/>
    <w:unhideWhenUsed/>
    <w:qFormat/>
    <w:rsid w:val="00CA31B2"/>
    <w:pPr>
      <w:spacing w:line="240" w:lineRule="auto"/>
    </w:pPr>
    <w:rPr>
      <w:b/>
      <w:bCs/>
      <w:color w:val="4F81BD" w:themeColor="accent1"/>
      <w:sz w:val="18"/>
      <w:szCs w:val="18"/>
    </w:rPr>
  </w:style>
  <w:style w:type="character" w:customStyle="1" w:styleId="DefaultChar">
    <w:name w:val="Default Char"/>
    <w:link w:val="Default"/>
    <w:rsid w:val="009539DA"/>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713">
      <w:bodyDiv w:val="1"/>
      <w:marLeft w:val="0"/>
      <w:marRight w:val="0"/>
      <w:marTop w:val="0"/>
      <w:marBottom w:val="0"/>
      <w:divBdr>
        <w:top w:val="none" w:sz="0" w:space="0" w:color="auto"/>
        <w:left w:val="none" w:sz="0" w:space="0" w:color="auto"/>
        <w:bottom w:val="none" w:sz="0" w:space="0" w:color="auto"/>
        <w:right w:val="none" w:sz="0" w:space="0" w:color="auto"/>
      </w:divBdr>
    </w:div>
    <w:div w:id="12807462">
      <w:bodyDiv w:val="1"/>
      <w:marLeft w:val="0"/>
      <w:marRight w:val="0"/>
      <w:marTop w:val="0"/>
      <w:marBottom w:val="0"/>
      <w:divBdr>
        <w:top w:val="none" w:sz="0" w:space="0" w:color="auto"/>
        <w:left w:val="none" w:sz="0" w:space="0" w:color="auto"/>
        <w:bottom w:val="none" w:sz="0" w:space="0" w:color="auto"/>
        <w:right w:val="none" w:sz="0" w:space="0" w:color="auto"/>
      </w:divBdr>
    </w:div>
    <w:div w:id="84614560">
      <w:bodyDiv w:val="1"/>
      <w:marLeft w:val="0"/>
      <w:marRight w:val="0"/>
      <w:marTop w:val="0"/>
      <w:marBottom w:val="0"/>
      <w:divBdr>
        <w:top w:val="none" w:sz="0" w:space="0" w:color="auto"/>
        <w:left w:val="none" w:sz="0" w:space="0" w:color="auto"/>
        <w:bottom w:val="none" w:sz="0" w:space="0" w:color="auto"/>
        <w:right w:val="none" w:sz="0" w:space="0" w:color="auto"/>
      </w:divBdr>
    </w:div>
    <w:div w:id="86510756">
      <w:bodyDiv w:val="1"/>
      <w:marLeft w:val="0"/>
      <w:marRight w:val="0"/>
      <w:marTop w:val="0"/>
      <w:marBottom w:val="0"/>
      <w:divBdr>
        <w:top w:val="none" w:sz="0" w:space="0" w:color="auto"/>
        <w:left w:val="none" w:sz="0" w:space="0" w:color="auto"/>
        <w:bottom w:val="none" w:sz="0" w:space="0" w:color="auto"/>
        <w:right w:val="none" w:sz="0" w:space="0" w:color="auto"/>
      </w:divBdr>
    </w:div>
    <w:div w:id="117645467">
      <w:bodyDiv w:val="1"/>
      <w:marLeft w:val="0"/>
      <w:marRight w:val="0"/>
      <w:marTop w:val="0"/>
      <w:marBottom w:val="0"/>
      <w:divBdr>
        <w:top w:val="none" w:sz="0" w:space="0" w:color="auto"/>
        <w:left w:val="none" w:sz="0" w:space="0" w:color="auto"/>
        <w:bottom w:val="none" w:sz="0" w:space="0" w:color="auto"/>
        <w:right w:val="none" w:sz="0" w:space="0" w:color="auto"/>
      </w:divBdr>
    </w:div>
    <w:div w:id="125241407">
      <w:bodyDiv w:val="1"/>
      <w:marLeft w:val="0"/>
      <w:marRight w:val="0"/>
      <w:marTop w:val="0"/>
      <w:marBottom w:val="0"/>
      <w:divBdr>
        <w:top w:val="none" w:sz="0" w:space="0" w:color="auto"/>
        <w:left w:val="none" w:sz="0" w:space="0" w:color="auto"/>
        <w:bottom w:val="none" w:sz="0" w:space="0" w:color="auto"/>
        <w:right w:val="none" w:sz="0" w:space="0" w:color="auto"/>
      </w:divBdr>
    </w:div>
    <w:div w:id="134959495">
      <w:bodyDiv w:val="1"/>
      <w:marLeft w:val="0"/>
      <w:marRight w:val="0"/>
      <w:marTop w:val="0"/>
      <w:marBottom w:val="0"/>
      <w:divBdr>
        <w:top w:val="none" w:sz="0" w:space="0" w:color="auto"/>
        <w:left w:val="none" w:sz="0" w:space="0" w:color="auto"/>
        <w:bottom w:val="none" w:sz="0" w:space="0" w:color="auto"/>
        <w:right w:val="none" w:sz="0" w:space="0" w:color="auto"/>
      </w:divBdr>
    </w:div>
    <w:div w:id="152843742">
      <w:bodyDiv w:val="1"/>
      <w:marLeft w:val="0"/>
      <w:marRight w:val="0"/>
      <w:marTop w:val="0"/>
      <w:marBottom w:val="0"/>
      <w:divBdr>
        <w:top w:val="none" w:sz="0" w:space="0" w:color="auto"/>
        <w:left w:val="none" w:sz="0" w:space="0" w:color="auto"/>
        <w:bottom w:val="none" w:sz="0" w:space="0" w:color="auto"/>
        <w:right w:val="none" w:sz="0" w:space="0" w:color="auto"/>
      </w:divBdr>
    </w:div>
    <w:div w:id="169569168">
      <w:bodyDiv w:val="1"/>
      <w:marLeft w:val="0"/>
      <w:marRight w:val="0"/>
      <w:marTop w:val="0"/>
      <w:marBottom w:val="0"/>
      <w:divBdr>
        <w:top w:val="none" w:sz="0" w:space="0" w:color="auto"/>
        <w:left w:val="none" w:sz="0" w:space="0" w:color="auto"/>
        <w:bottom w:val="none" w:sz="0" w:space="0" w:color="auto"/>
        <w:right w:val="none" w:sz="0" w:space="0" w:color="auto"/>
      </w:divBdr>
    </w:div>
    <w:div w:id="169686941">
      <w:bodyDiv w:val="1"/>
      <w:marLeft w:val="0"/>
      <w:marRight w:val="0"/>
      <w:marTop w:val="0"/>
      <w:marBottom w:val="0"/>
      <w:divBdr>
        <w:top w:val="none" w:sz="0" w:space="0" w:color="auto"/>
        <w:left w:val="none" w:sz="0" w:space="0" w:color="auto"/>
        <w:bottom w:val="none" w:sz="0" w:space="0" w:color="auto"/>
        <w:right w:val="none" w:sz="0" w:space="0" w:color="auto"/>
      </w:divBdr>
    </w:div>
    <w:div w:id="177014178">
      <w:bodyDiv w:val="1"/>
      <w:marLeft w:val="0"/>
      <w:marRight w:val="0"/>
      <w:marTop w:val="0"/>
      <w:marBottom w:val="0"/>
      <w:divBdr>
        <w:top w:val="none" w:sz="0" w:space="0" w:color="auto"/>
        <w:left w:val="none" w:sz="0" w:space="0" w:color="auto"/>
        <w:bottom w:val="none" w:sz="0" w:space="0" w:color="auto"/>
        <w:right w:val="none" w:sz="0" w:space="0" w:color="auto"/>
      </w:divBdr>
    </w:div>
    <w:div w:id="197668171">
      <w:bodyDiv w:val="1"/>
      <w:marLeft w:val="0"/>
      <w:marRight w:val="0"/>
      <w:marTop w:val="0"/>
      <w:marBottom w:val="0"/>
      <w:divBdr>
        <w:top w:val="none" w:sz="0" w:space="0" w:color="auto"/>
        <w:left w:val="none" w:sz="0" w:space="0" w:color="auto"/>
        <w:bottom w:val="none" w:sz="0" w:space="0" w:color="auto"/>
        <w:right w:val="none" w:sz="0" w:space="0" w:color="auto"/>
      </w:divBdr>
    </w:div>
    <w:div w:id="250282113">
      <w:bodyDiv w:val="1"/>
      <w:marLeft w:val="0"/>
      <w:marRight w:val="0"/>
      <w:marTop w:val="0"/>
      <w:marBottom w:val="0"/>
      <w:divBdr>
        <w:top w:val="none" w:sz="0" w:space="0" w:color="auto"/>
        <w:left w:val="none" w:sz="0" w:space="0" w:color="auto"/>
        <w:bottom w:val="none" w:sz="0" w:space="0" w:color="auto"/>
        <w:right w:val="none" w:sz="0" w:space="0" w:color="auto"/>
      </w:divBdr>
    </w:div>
    <w:div w:id="273443776">
      <w:bodyDiv w:val="1"/>
      <w:marLeft w:val="0"/>
      <w:marRight w:val="0"/>
      <w:marTop w:val="0"/>
      <w:marBottom w:val="0"/>
      <w:divBdr>
        <w:top w:val="none" w:sz="0" w:space="0" w:color="auto"/>
        <w:left w:val="none" w:sz="0" w:space="0" w:color="auto"/>
        <w:bottom w:val="none" w:sz="0" w:space="0" w:color="auto"/>
        <w:right w:val="none" w:sz="0" w:space="0" w:color="auto"/>
      </w:divBdr>
    </w:div>
    <w:div w:id="336035583">
      <w:bodyDiv w:val="1"/>
      <w:marLeft w:val="0"/>
      <w:marRight w:val="0"/>
      <w:marTop w:val="0"/>
      <w:marBottom w:val="0"/>
      <w:divBdr>
        <w:top w:val="none" w:sz="0" w:space="0" w:color="auto"/>
        <w:left w:val="none" w:sz="0" w:space="0" w:color="auto"/>
        <w:bottom w:val="none" w:sz="0" w:space="0" w:color="auto"/>
        <w:right w:val="none" w:sz="0" w:space="0" w:color="auto"/>
      </w:divBdr>
    </w:div>
    <w:div w:id="360789286">
      <w:bodyDiv w:val="1"/>
      <w:marLeft w:val="0"/>
      <w:marRight w:val="0"/>
      <w:marTop w:val="0"/>
      <w:marBottom w:val="0"/>
      <w:divBdr>
        <w:top w:val="none" w:sz="0" w:space="0" w:color="auto"/>
        <w:left w:val="none" w:sz="0" w:space="0" w:color="auto"/>
        <w:bottom w:val="none" w:sz="0" w:space="0" w:color="auto"/>
        <w:right w:val="none" w:sz="0" w:space="0" w:color="auto"/>
      </w:divBdr>
    </w:div>
    <w:div w:id="381097976">
      <w:bodyDiv w:val="1"/>
      <w:marLeft w:val="0"/>
      <w:marRight w:val="0"/>
      <w:marTop w:val="0"/>
      <w:marBottom w:val="0"/>
      <w:divBdr>
        <w:top w:val="none" w:sz="0" w:space="0" w:color="auto"/>
        <w:left w:val="none" w:sz="0" w:space="0" w:color="auto"/>
        <w:bottom w:val="none" w:sz="0" w:space="0" w:color="auto"/>
        <w:right w:val="none" w:sz="0" w:space="0" w:color="auto"/>
      </w:divBdr>
    </w:div>
    <w:div w:id="386610362">
      <w:bodyDiv w:val="1"/>
      <w:marLeft w:val="0"/>
      <w:marRight w:val="0"/>
      <w:marTop w:val="0"/>
      <w:marBottom w:val="0"/>
      <w:divBdr>
        <w:top w:val="none" w:sz="0" w:space="0" w:color="auto"/>
        <w:left w:val="none" w:sz="0" w:space="0" w:color="auto"/>
        <w:bottom w:val="none" w:sz="0" w:space="0" w:color="auto"/>
        <w:right w:val="none" w:sz="0" w:space="0" w:color="auto"/>
      </w:divBdr>
    </w:div>
    <w:div w:id="429548439">
      <w:bodyDiv w:val="1"/>
      <w:marLeft w:val="0"/>
      <w:marRight w:val="0"/>
      <w:marTop w:val="0"/>
      <w:marBottom w:val="0"/>
      <w:divBdr>
        <w:top w:val="none" w:sz="0" w:space="0" w:color="auto"/>
        <w:left w:val="none" w:sz="0" w:space="0" w:color="auto"/>
        <w:bottom w:val="none" w:sz="0" w:space="0" w:color="auto"/>
        <w:right w:val="none" w:sz="0" w:space="0" w:color="auto"/>
      </w:divBdr>
    </w:div>
    <w:div w:id="460996499">
      <w:bodyDiv w:val="1"/>
      <w:marLeft w:val="0"/>
      <w:marRight w:val="0"/>
      <w:marTop w:val="0"/>
      <w:marBottom w:val="0"/>
      <w:divBdr>
        <w:top w:val="none" w:sz="0" w:space="0" w:color="auto"/>
        <w:left w:val="none" w:sz="0" w:space="0" w:color="auto"/>
        <w:bottom w:val="none" w:sz="0" w:space="0" w:color="auto"/>
        <w:right w:val="none" w:sz="0" w:space="0" w:color="auto"/>
      </w:divBdr>
    </w:div>
    <w:div w:id="471751225">
      <w:bodyDiv w:val="1"/>
      <w:marLeft w:val="0"/>
      <w:marRight w:val="0"/>
      <w:marTop w:val="0"/>
      <w:marBottom w:val="0"/>
      <w:divBdr>
        <w:top w:val="none" w:sz="0" w:space="0" w:color="auto"/>
        <w:left w:val="none" w:sz="0" w:space="0" w:color="auto"/>
        <w:bottom w:val="none" w:sz="0" w:space="0" w:color="auto"/>
        <w:right w:val="none" w:sz="0" w:space="0" w:color="auto"/>
      </w:divBdr>
    </w:div>
    <w:div w:id="484320452">
      <w:bodyDiv w:val="1"/>
      <w:marLeft w:val="0"/>
      <w:marRight w:val="0"/>
      <w:marTop w:val="0"/>
      <w:marBottom w:val="0"/>
      <w:divBdr>
        <w:top w:val="none" w:sz="0" w:space="0" w:color="auto"/>
        <w:left w:val="none" w:sz="0" w:space="0" w:color="auto"/>
        <w:bottom w:val="none" w:sz="0" w:space="0" w:color="auto"/>
        <w:right w:val="none" w:sz="0" w:space="0" w:color="auto"/>
      </w:divBdr>
    </w:div>
    <w:div w:id="509948114">
      <w:bodyDiv w:val="1"/>
      <w:marLeft w:val="0"/>
      <w:marRight w:val="0"/>
      <w:marTop w:val="0"/>
      <w:marBottom w:val="0"/>
      <w:divBdr>
        <w:top w:val="none" w:sz="0" w:space="0" w:color="auto"/>
        <w:left w:val="none" w:sz="0" w:space="0" w:color="auto"/>
        <w:bottom w:val="none" w:sz="0" w:space="0" w:color="auto"/>
        <w:right w:val="none" w:sz="0" w:space="0" w:color="auto"/>
      </w:divBdr>
    </w:div>
    <w:div w:id="513301159">
      <w:bodyDiv w:val="1"/>
      <w:marLeft w:val="0"/>
      <w:marRight w:val="0"/>
      <w:marTop w:val="0"/>
      <w:marBottom w:val="0"/>
      <w:divBdr>
        <w:top w:val="none" w:sz="0" w:space="0" w:color="auto"/>
        <w:left w:val="none" w:sz="0" w:space="0" w:color="auto"/>
        <w:bottom w:val="none" w:sz="0" w:space="0" w:color="auto"/>
        <w:right w:val="none" w:sz="0" w:space="0" w:color="auto"/>
      </w:divBdr>
    </w:div>
    <w:div w:id="532109329">
      <w:bodyDiv w:val="1"/>
      <w:marLeft w:val="0"/>
      <w:marRight w:val="0"/>
      <w:marTop w:val="0"/>
      <w:marBottom w:val="0"/>
      <w:divBdr>
        <w:top w:val="none" w:sz="0" w:space="0" w:color="auto"/>
        <w:left w:val="none" w:sz="0" w:space="0" w:color="auto"/>
        <w:bottom w:val="none" w:sz="0" w:space="0" w:color="auto"/>
        <w:right w:val="none" w:sz="0" w:space="0" w:color="auto"/>
      </w:divBdr>
    </w:div>
    <w:div w:id="536546278">
      <w:bodyDiv w:val="1"/>
      <w:marLeft w:val="0"/>
      <w:marRight w:val="0"/>
      <w:marTop w:val="0"/>
      <w:marBottom w:val="0"/>
      <w:divBdr>
        <w:top w:val="none" w:sz="0" w:space="0" w:color="auto"/>
        <w:left w:val="none" w:sz="0" w:space="0" w:color="auto"/>
        <w:bottom w:val="none" w:sz="0" w:space="0" w:color="auto"/>
        <w:right w:val="none" w:sz="0" w:space="0" w:color="auto"/>
      </w:divBdr>
    </w:div>
    <w:div w:id="560289421">
      <w:bodyDiv w:val="1"/>
      <w:marLeft w:val="0"/>
      <w:marRight w:val="0"/>
      <w:marTop w:val="0"/>
      <w:marBottom w:val="0"/>
      <w:divBdr>
        <w:top w:val="none" w:sz="0" w:space="0" w:color="auto"/>
        <w:left w:val="none" w:sz="0" w:space="0" w:color="auto"/>
        <w:bottom w:val="none" w:sz="0" w:space="0" w:color="auto"/>
        <w:right w:val="none" w:sz="0" w:space="0" w:color="auto"/>
      </w:divBdr>
    </w:div>
    <w:div w:id="560409696">
      <w:bodyDiv w:val="1"/>
      <w:marLeft w:val="0"/>
      <w:marRight w:val="0"/>
      <w:marTop w:val="0"/>
      <w:marBottom w:val="0"/>
      <w:divBdr>
        <w:top w:val="none" w:sz="0" w:space="0" w:color="auto"/>
        <w:left w:val="none" w:sz="0" w:space="0" w:color="auto"/>
        <w:bottom w:val="none" w:sz="0" w:space="0" w:color="auto"/>
        <w:right w:val="none" w:sz="0" w:space="0" w:color="auto"/>
      </w:divBdr>
    </w:div>
    <w:div w:id="576938411">
      <w:bodyDiv w:val="1"/>
      <w:marLeft w:val="0"/>
      <w:marRight w:val="0"/>
      <w:marTop w:val="0"/>
      <w:marBottom w:val="0"/>
      <w:divBdr>
        <w:top w:val="none" w:sz="0" w:space="0" w:color="auto"/>
        <w:left w:val="none" w:sz="0" w:space="0" w:color="auto"/>
        <w:bottom w:val="none" w:sz="0" w:space="0" w:color="auto"/>
        <w:right w:val="none" w:sz="0" w:space="0" w:color="auto"/>
      </w:divBdr>
    </w:div>
    <w:div w:id="597756228">
      <w:bodyDiv w:val="1"/>
      <w:marLeft w:val="0"/>
      <w:marRight w:val="0"/>
      <w:marTop w:val="0"/>
      <w:marBottom w:val="0"/>
      <w:divBdr>
        <w:top w:val="none" w:sz="0" w:space="0" w:color="auto"/>
        <w:left w:val="none" w:sz="0" w:space="0" w:color="auto"/>
        <w:bottom w:val="none" w:sz="0" w:space="0" w:color="auto"/>
        <w:right w:val="none" w:sz="0" w:space="0" w:color="auto"/>
      </w:divBdr>
    </w:div>
    <w:div w:id="612519912">
      <w:bodyDiv w:val="1"/>
      <w:marLeft w:val="0"/>
      <w:marRight w:val="0"/>
      <w:marTop w:val="0"/>
      <w:marBottom w:val="0"/>
      <w:divBdr>
        <w:top w:val="none" w:sz="0" w:space="0" w:color="auto"/>
        <w:left w:val="none" w:sz="0" w:space="0" w:color="auto"/>
        <w:bottom w:val="none" w:sz="0" w:space="0" w:color="auto"/>
        <w:right w:val="none" w:sz="0" w:space="0" w:color="auto"/>
      </w:divBdr>
    </w:div>
    <w:div w:id="630356357">
      <w:bodyDiv w:val="1"/>
      <w:marLeft w:val="0"/>
      <w:marRight w:val="0"/>
      <w:marTop w:val="0"/>
      <w:marBottom w:val="0"/>
      <w:divBdr>
        <w:top w:val="none" w:sz="0" w:space="0" w:color="auto"/>
        <w:left w:val="none" w:sz="0" w:space="0" w:color="auto"/>
        <w:bottom w:val="none" w:sz="0" w:space="0" w:color="auto"/>
        <w:right w:val="none" w:sz="0" w:space="0" w:color="auto"/>
      </w:divBdr>
    </w:div>
    <w:div w:id="655841002">
      <w:bodyDiv w:val="1"/>
      <w:marLeft w:val="0"/>
      <w:marRight w:val="0"/>
      <w:marTop w:val="0"/>
      <w:marBottom w:val="0"/>
      <w:divBdr>
        <w:top w:val="none" w:sz="0" w:space="0" w:color="auto"/>
        <w:left w:val="none" w:sz="0" w:space="0" w:color="auto"/>
        <w:bottom w:val="none" w:sz="0" w:space="0" w:color="auto"/>
        <w:right w:val="none" w:sz="0" w:space="0" w:color="auto"/>
      </w:divBdr>
    </w:div>
    <w:div w:id="663241329">
      <w:bodyDiv w:val="1"/>
      <w:marLeft w:val="0"/>
      <w:marRight w:val="0"/>
      <w:marTop w:val="0"/>
      <w:marBottom w:val="0"/>
      <w:divBdr>
        <w:top w:val="none" w:sz="0" w:space="0" w:color="auto"/>
        <w:left w:val="none" w:sz="0" w:space="0" w:color="auto"/>
        <w:bottom w:val="none" w:sz="0" w:space="0" w:color="auto"/>
        <w:right w:val="none" w:sz="0" w:space="0" w:color="auto"/>
      </w:divBdr>
    </w:div>
    <w:div w:id="706757440">
      <w:bodyDiv w:val="1"/>
      <w:marLeft w:val="0"/>
      <w:marRight w:val="0"/>
      <w:marTop w:val="0"/>
      <w:marBottom w:val="0"/>
      <w:divBdr>
        <w:top w:val="none" w:sz="0" w:space="0" w:color="auto"/>
        <w:left w:val="none" w:sz="0" w:space="0" w:color="auto"/>
        <w:bottom w:val="none" w:sz="0" w:space="0" w:color="auto"/>
        <w:right w:val="none" w:sz="0" w:space="0" w:color="auto"/>
      </w:divBdr>
    </w:div>
    <w:div w:id="807891581">
      <w:bodyDiv w:val="1"/>
      <w:marLeft w:val="0"/>
      <w:marRight w:val="0"/>
      <w:marTop w:val="0"/>
      <w:marBottom w:val="0"/>
      <w:divBdr>
        <w:top w:val="none" w:sz="0" w:space="0" w:color="auto"/>
        <w:left w:val="none" w:sz="0" w:space="0" w:color="auto"/>
        <w:bottom w:val="none" w:sz="0" w:space="0" w:color="auto"/>
        <w:right w:val="none" w:sz="0" w:space="0" w:color="auto"/>
      </w:divBdr>
    </w:div>
    <w:div w:id="857694624">
      <w:bodyDiv w:val="1"/>
      <w:marLeft w:val="0"/>
      <w:marRight w:val="0"/>
      <w:marTop w:val="0"/>
      <w:marBottom w:val="0"/>
      <w:divBdr>
        <w:top w:val="none" w:sz="0" w:space="0" w:color="auto"/>
        <w:left w:val="none" w:sz="0" w:space="0" w:color="auto"/>
        <w:bottom w:val="none" w:sz="0" w:space="0" w:color="auto"/>
        <w:right w:val="none" w:sz="0" w:space="0" w:color="auto"/>
      </w:divBdr>
    </w:div>
    <w:div w:id="872883170">
      <w:bodyDiv w:val="1"/>
      <w:marLeft w:val="0"/>
      <w:marRight w:val="0"/>
      <w:marTop w:val="0"/>
      <w:marBottom w:val="0"/>
      <w:divBdr>
        <w:top w:val="none" w:sz="0" w:space="0" w:color="auto"/>
        <w:left w:val="none" w:sz="0" w:space="0" w:color="auto"/>
        <w:bottom w:val="none" w:sz="0" w:space="0" w:color="auto"/>
        <w:right w:val="none" w:sz="0" w:space="0" w:color="auto"/>
      </w:divBdr>
    </w:div>
    <w:div w:id="879053231">
      <w:bodyDiv w:val="1"/>
      <w:marLeft w:val="0"/>
      <w:marRight w:val="0"/>
      <w:marTop w:val="0"/>
      <w:marBottom w:val="0"/>
      <w:divBdr>
        <w:top w:val="none" w:sz="0" w:space="0" w:color="auto"/>
        <w:left w:val="none" w:sz="0" w:space="0" w:color="auto"/>
        <w:bottom w:val="none" w:sz="0" w:space="0" w:color="auto"/>
        <w:right w:val="none" w:sz="0" w:space="0" w:color="auto"/>
      </w:divBdr>
    </w:div>
    <w:div w:id="900989705">
      <w:bodyDiv w:val="1"/>
      <w:marLeft w:val="0"/>
      <w:marRight w:val="0"/>
      <w:marTop w:val="0"/>
      <w:marBottom w:val="0"/>
      <w:divBdr>
        <w:top w:val="none" w:sz="0" w:space="0" w:color="auto"/>
        <w:left w:val="none" w:sz="0" w:space="0" w:color="auto"/>
        <w:bottom w:val="none" w:sz="0" w:space="0" w:color="auto"/>
        <w:right w:val="none" w:sz="0" w:space="0" w:color="auto"/>
      </w:divBdr>
    </w:div>
    <w:div w:id="958998741">
      <w:bodyDiv w:val="1"/>
      <w:marLeft w:val="0"/>
      <w:marRight w:val="0"/>
      <w:marTop w:val="0"/>
      <w:marBottom w:val="0"/>
      <w:divBdr>
        <w:top w:val="none" w:sz="0" w:space="0" w:color="auto"/>
        <w:left w:val="none" w:sz="0" w:space="0" w:color="auto"/>
        <w:bottom w:val="none" w:sz="0" w:space="0" w:color="auto"/>
        <w:right w:val="none" w:sz="0" w:space="0" w:color="auto"/>
      </w:divBdr>
    </w:div>
    <w:div w:id="975532053">
      <w:bodyDiv w:val="1"/>
      <w:marLeft w:val="0"/>
      <w:marRight w:val="0"/>
      <w:marTop w:val="0"/>
      <w:marBottom w:val="0"/>
      <w:divBdr>
        <w:top w:val="none" w:sz="0" w:space="0" w:color="auto"/>
        <w:left w:val="none" w:sz="0" w:space="0" w:color="auto"/>
        <w:bottom w:val="none" w:sz="0" w:space="0" w:color="auto"/>
        <w:right w:val="none" w:sz="0" w:space="0" w:color="auto"/>
      </w:divBdr>
    </w:div>
    <w:div w:id="995190023">
      <w:bodyDiv w:val="1"/>
      <w:marLeft w:val="0"/>
      <w:marRight w:val="0"/>
      <w:marTop w:val="0"/>
      <w:marBottom w:val="0"/>
      <w:divBdr>
        <w:top w:val="none" w:sz="0" w:space="0" w:color="auto"/>
        <w:left w:val="none" w:sz="0" w:space="0" w:color="auto"/>
        <w:bottom w:val="none" w:sz="0" w:space="0" w:color="auto"/>
        <w:right w:val="none" w:sz="0" w:space="0" w:color="auto"/>
      </w:divBdr>
    </w:div>
    <w:div w:id="1004282519">
      <w:bodyDiv w:val="1"/>
      <w:marLeft w:val="0"/>
      <w:marRight w:val="0"/>
      <w:marTop w:val="0"/>
      <w:marBottom w:val="0"/>
      <w:divBdr>
        <w:top w:val="none" w:sz="0" w:space="0" w:color="auto"/>
        <w:left w:val="none" w:sz="0" w:space="0" w:color="auto"/>
        <w:bottom w:val="none" w:sz="0" w:space="0" w:color="auto"/>
        <w:right w:val="none" w:sz="0" w:space="0" w:color="auto"/>
      </w:divBdr>
    </w:div>
    <w:div w:id="1059287564">
      <w:bodyDiv w:val="1"/>
      <w:marLeft w:val="0"/>
      <w:marRight w:val="0"/>
      <w:marTop w:val="0"/>
      <w:marBottom w:val="0"/>
      <w:divBdr>
        <w:top w:val="none" w:sz="0" w:space="0" w:color="auto"/>
        <w:left w:val="none" w:sz="0" w:space="0" w:color="auto"/>
        <w:bottom w:val="none" w:sz="0" w:space="0" w:color="auto"/>
        <w:right w:val="none" w:sz="0" w:space="0" w:color="auto"/>
      </w:divBdr>
    </w:div>
    <w:div w:id="1064181319">
      <w:bodyDiv w:val="1"/>
      <w:marLeft w:val="0"/>
      <w:marRight w:val="0"/>
      <w:marTop w:val="0"/>
      <w:marBottom w:val="0"/>
      <w:divBdr>
        <w:top w:val="none" w:sz="0" w:space="0" w:color="auto"/>
        <w:left w:val="none" w:sz="0" w:space="0" w:color="auto"/>
        <w:bottom w:val="none" w:sz="0" w:space="0" w:color="auto"/>
        <w:right w:val="none" w:sz="0" w:space="0" w:color="auto"/>
      </w:divBdr>
    </w:div>
    <w:div w:id="1066612816">
      <w:bodyDiv w:val="1"/>
      <w:marLeft w:val="0"/>
      <w:marRight w:val="0"/>
      <w:marTop w:val="0"/>
      <w:marBottom w:val="0"/>
      <w:divBdr>
        <w:top w:val="none" w:sz="0" w:space="0" w:color="auto"/>
        <w:left w:val="none" w:sz="0" w:space="0" w:color="auto"/>
        <w:bottom w:val="none" w:sz="0" w:space="0" w:color="auto"/>
        <w:right w:val="none" w:sz="0" w:space="0" w:color="auto"/>
      </w:divBdr>
    </w:div>
    <w:div w:id="1070083809">
      <w:bodyDiv w:val="1"/>
      <w:marLeft w:val="0"/>
      <w:marRight w:val="0"/>
      <w:marTop w:val="0"/>
      <w:marBottom w:val="0"/>
      <w:divBdr>
        <w:top w:val="none" w:sz="0" w:space="0" w:color="auto"/>
        <w:left w:val="none" w:sz="0" w:space="0" w:color="auto"/>
        <w:bottom w:val="none" w:sz="0" w:space="0" w:color="auto"/>
        <w:right w:val="none" w:sz="0" w:space="0" w:color="auto"/>
      </w:divBdr>
    </w:div>
    <w:div w:id="1075054051">
      <w:bodyDiv w:val="1"/>
      <w:marLeft w:val="0"/>
      <w:marRight w:val="0"/>
      <w:marTop w:val="0"/>
      <w:marBottom w:val="0"/>
      <w:divBdr>
        <w:top w:val="none" w:sz="0" w:space="0" w:color="auto"/>
        <w:left w:val="none" w:sz="0" w:space="0" w:color="auto"/>
        <w:bottom w:val="none" w:sz="0" w:space="0" w:color="auto"/>
        <w:right w:val="none" w:sz="0" w:space="0" w:color="auto"/>
      </w:divBdr>
    </w:div>
    <w:div w:id="1090925237">
      <w:bodyDiv w:val="1"/>
      <w:marLeft w:val="0"/>
      <w:marRight w:val="0"/>
      <w:marTop w:val="0"/>
      <w:marBottom w:val="0"/>
      <w:divBdr>
        <w:top w:val="none" w:sz="0" w:space="0" w:color="auto"/>
        <w:left w:val="none" w:sz="0" w:space="0" w:color="auto"/>
        <w:bottom w:val="none" w:sz="0" w:space="0" w:color="auto"/>
        <w:right w:val="none" w:sz="0" w:space="0" w:color="auto"/>
      </w:divBdr>
    </w:div>
    <w:div w:id="1112751131">
      <w:bodyDiv w:val="1"/>
      <w:marLeft w:val="0"/>
      <w:marRight w:val="0"/>
      <w:marTop w:val="0"/>
      <w:marBottom w:val="0"/>
      <w:divBdr>
        <w:top w:val="none" w:sz="0" w:space="0" w:color="auto"/>
        <w:left w:val="none" w:sz="0" w:space="0" w:color="auto"/>
        <w:bottom w:val="none" w:sz="0" w:space="0" w:color="auto"/>
        <w:right w:val="none" w:sz="0" w:space="0" w:color="auto"/>
      </w:divBdr>
    </w:div>
    <w:div w:id="1118522117">
      <w:bodyDiv w:val="1"/>
      <w:marLeft w:val="0"/>
      <w:marRight w:val="0"/>
      <w:marTop w:val="0"/>
      <w:marBottom w:val="0"/>
      <w:divBdr>
        <w:top w:val="none" w:sz="0" w:space="0" w:color="auto"/>
        <w:left w:val="none" w:sz="0" w:space="0" w:color="auto"/>
        <w:bottom w:val="none" w:sz="0" w:space="0" w:color="auto"/>
        <w:right w:val="none" w:sz="0" w:space="0" w:color="auto"/>
      </w:divBdr>
    </w:div>
    <w:div w:id="1155031714">
      <w:bodyDiv w:val="1"/>
      <w:marLeft w:val="0"/>
      <w:marRight w:val="0"/>
      <w:marTop w:val="0"/>
      <w:marBottom w:val="0"/>
      <w:divBdr>
        <w:top w:val="none" w:sz="0" w:space="0" w:color="auto"/>
        <w:left w:val="none" w:sz="0" w:space="0" w:color="auto"/>
        <w:bottom w:val="none" w:sz="0" w:space="0" w:color="auto"/>
        <w:right w:val="none" w:sz="0" w:space="0" w:color="auto"/>
      </w:divBdr>
    </w:div>
    <w:div w:id="1163622990">
      <w:bodyDiv w:val="1"/>
      <w:marLeft w:val="0"/>
      <w:marRight w:val="0"/>
      <w:marTop w:val="0"/>
      <w:marBottom w:val="0"/>
      <w:divBdr>
        <w:top w:val="none" w:sz="0" w:space="0" w:color="auto"/>
        <w:left w:val="none" w:sz="0" w:space="0" w:color="auto"/>
        <w:bottom w:val="none" w:sz="0" w:space="0" w:color="auto"/>
        <w:right w:val="none" w:sz="0" w:space="0" w:color="auto"/>
      </w:divBdr>
    </w:div>
    <w:div w:id="1175608822">
      <w:bodyDiv w:val="1"/>
      <w:marLeft w:val="0"/>
      <w:marRight w:val="0"/>
      <w:marTop w:val="0"/>
      <w:marBottom w:val="0"/>
      <w:divBdr>
        <w:top w:val="none" w:sz="0" w:space="0" w:color="auto"/>
        <w:left w:val="none" w:sz="0" w:space="0" w:color="auto"/>
        <w:bottom w:val="none" w:sz="0" w:space="0" w:color="auto"/>
        <w:right w:val="none" w:sz="0" w:space="0" w:color="auto"/>
      </w:divBdr>
    </w:div>
    <w:div w:id="1181627287">
      <w:bodyDiv w:val="1"/>
      <w:marLeft w:val="0"/>
      <w:marRight w:val="0"/>
      <w:marTop w:val="0"/>
      <w:marBottom w:val="0"/>
      <w:divBdr>
        <w:top w:val="none" w:sz="0" w:space="0" w:color="auto"/>
        <w:left w:val="none" w:sz="0" w:space="0" w:color="auto"/>
        <w:bottom w:val="none" w:sz="0" w:space="0" w:color="auto"/>
        <w:right w:val="none" w:sz="0" w:space="0" w:color="auto"/>
      </w:divBdr>
    </w:div>
    <w:div w:id="1188520030">
      <w:bodyDiv w:val="1"/>
      <w:marLeft w:val="0"/>
      <w:marRight w:val="0"/>
      <w:marTop w:val="0"/>
      <w:marBottom w:val="0"/>
      <w:divBdr>
        <w:top w:val="none" w:sz="0" w:space="0" w:color="auto"/>
        <w:left w:val="none" w:sz="0" w:space="0" w:color="auto"/>
        <w:bottom w:val="none" w:sz="0" w:space="0" w:color="auto"/>
        <w:right w:val="none" w:sz="0" w:space="0" w:color="auto"/>
      </w:divBdr>
    </w:div>
    <w:div w:id="1217814395">
      <w:bodyDiv w:val="1"/>
      <w:marLeft w:val="0"/>
      <w:marRight w:val="0"/>
      <w:marTop w:val="0"/>
      <w:marBottom w:val="0"/>
      <w:divBdr>
        <w:top w:val="none" w:sz="0" w:space="0" w:color="auto"/>
        <w:left w:val="none" w:sz="0" w:space="0" w:color="auto"/>
        <w:bottom w:val="none" w:sz="0" w:space="0" w:color="auto"/>
        <w:right w:val="none" w:sz="0" w:space="0" w:color="auto"/>
      </w:divBdr>
    </w:div>
    <w:div w:id="1274020486">
      <w:bodyDiv w:val="1"/>
      <w:marLeft w:val="0"/>
      <w:marRight w:val="0"/>
      <w:marTop w:val="0"/>
      <w:marBottom w:val="0"/>
      <w:divBdr>
        <w:top w:val="none" w:sz="0" w:space="0" w:color="auto"/>
        <w:left w:val="none" w:sz="0" w:space="0" w:color="auto"/>
        <w:bottom w:val="none" w:sz="0" w:space="0" w:color="auto"/>
        <w:right w:val="none" w:sz="0" w:space="0" w:color="auto"/>
      </w:divBdr>
    </w:div>
    <w:div w:id="1275820727">
      <w:bodyDiv w:val="1"/>
      <w:marLeft w:val="0"/>
      <w:marRight w:val="0"/>
      <w:marTop w:val="0"/>
      <w:marBottom w:val="0"/>
      <w:divBdr>
        <w:top w:val="none" w:sz="0" w:space="0" w:color="auto"/>
        <w:left w:val="none" w:sz="0" w:space="0" w:color="auto"/>
        <w:bottom w:val="none" w:sz="0" w:space="0" w:color="auto"/>
        <w:right w:val="none" w:sz="0" w:space="0" w:color="auto"/>
      </w:divBdr>
    </w:div>
    <w:div w:id="1334260964">
      <w:bodyDiv w:val="1"/>
      <w:marLeft w:val="0"/>
      <w:marRight w:val="0"/>
      <w:marTop w:val="0"/>
      <w:marBottom w:val="0"/>
      <w:divBdr>
        <w:top w:val="none" w:sz="0" w:space="0" w:color="auto"/>
        <w:left w:val="none" w:sz="0" w:space="0" w:color="auto"/>
        <w:bottom w:val="none" w:sz="0" w:space="0" w:color="auto"/>
        <w:right w:val="none" w:sz="0" w:space="0" w:color="auto"/>
      </w:divBdr>
    </w:div>
    <w:div w:id="1367365738">
      <w:bodyDiv w:val="1"/>
      <w:marLeft w:val="0"/>
      <w:marRight w:val="0"/>
      <w:marTop w:val="0"/>
      <w:marBottom w:val="0"/>
      <w:divBdr>
        <w:top w:val="none" w:sz="0" w:space="0" w:color="auto"/>
        <w:left w:val="none" w:sz="0" w:space="0" w:color="auto"/>
        <w:bottom w:val="none" w:sz="0" w:space="0" w:color="auto"/>
        <w:right w:val="none" w:sz="0" w:space="0" w:color="auto"/>
      </w:divBdr>
    </w:div>
    <w:div w:id="1380012593">
      <w:bodyDiv w:val="1"/>
      <w:marLeft w:val="0"/>
      <w:marRight w:val="0"/>
      <w:marTop w:val="0"/>
      <w:marBottom w:val="0"/>
      <w:divBdr>
        <w:top w:val="none" w:sz="0" w:space="0" w:color="auto"/>
        <w:left w:val="none" w:sz="0" w:space="0" w:color="auto"/>
        <w:bottom w:val="none" w:sz="0" w:space="0" w:color="auto"/>
        <w:right w:val="none" w:sz="0" w:space="0" w:color="auto"/>
      </w:divBdr>
    </w:div>
    <w:div w:id="1405106565">
      <w:bodyDiv w:val="1"/>
      <w:marLeft w:val="0"/>
      <w:marRight w:val="0"/>
      <w:marTop w:val="0"/>
      <w:marBottom w:val="0"/>
      <w:divBdr>
        <w:top w:val="none" w:sz="0" w:space="0" w:color="auto"/>
        <w:left w:val="none" w:sz="0" w:space="0" w:color="auto"/>
        <w:bottom w:val="none" w:sz="0" w:space="0" w:color="auto"/>
        <w:right w:val="none" w:sz="0" w:space="0" w:color="auto"/>
      </w:divBdr>
    </w:div>
    <w:div w:id="1436288895">
      <w:bodyDiv w:val="1"/>
      <w:marLeft w:val="0"/>
      <w:marRight w:val="0"/>
      <w:marTop w:val="0"/>
      <w:marBottom w:val="0"/>
      <w:divBdr>
        <w:top w:val="none" w:sz="0" w:space="0" w:color="auto"/>
        <w:left w:val="none" w:sz="0" w:space="0" w:color="auto"/>
        <w:bottom w:val="none" w:sz="0" w:space="0" w:color="auto"/>
        <w:right w:val="none" w:sz="0" w:space="0" w:color="auto"/>
      </w:divBdr>
      <w:divsChild>
        <w:div w:id="852574478">
          <w:marLeft w:val="0"/>
          <w:marRight w:val="0"/>
          <w:marTop w:val="0"/>
          <w:marBottom w:val="0"/>
          <w:divBdr>
            <w:top w:val="none" w:sz="0" w:space="0" w:color="auto"/>
            <w:left w:val="none" w:sz="0" w:space="0" w:color="auto"/>
            <w:bottom w:val="none" w:sz="0" w:space="0" w:color="auto"/>
            <w:right w:val="none" w:sz="0" w:space="0" w:color="auto"/>
          </w:divBdr>
          <w:divsChild>
            <w:div w:id="1737630730">
              <w:marLeft w:val="0"/>
              <w:marRight w:val="0"/>
              <w:marTop w:val="100"/>
              <w:marBottom w:val="100"/>
              <w:divBdr>
                <w:top w:val="none" w:sz="0" w:space="0" w:color="auto"/>
                <w:left w:val="none" w:sz="0" w:space="0" w:color="auto"/>
                <w:bottom w:val="none" w:sz="0" w:space="0" w:color="auto"/>
                <w:right w:val="none" w:sz="0" w:space="0" w:color="auto"/>
              </w:divBdr>
              <w:divsChild>
                <w:div w:id="1652829593">
                  <w:marLeft w:val="0"/>
                  <w:marRight w:val="0"/>
                  <w:marTop w:val="0"/>
                  <w:marBottom w:val="0"/>
                  <w:divBdr>
                    <w:top w:val="none" w:sz="0" w:space="0" w:color="auto"/>
                    <w:left w:val="none" w:sz="0" w:space="0" w:color="auto"/>
                    <w:bottom w:val="none" w:sz="0" w:space="0" w:color="auto"/>
                    <w:right w:val="none" w:sz="0" w:space="0" w:color="auto"/>
                  </w:divBdr>
                  <w:divsChild>
                    <w:div w:id="849177250">
                      <w:marLeft w:val="0"/>
                      <w:marRight w:val="-6000"/>
                      <w:marTop w:val="0"/>
                      <w:marBottom w:val="0"/>
                      <w:divBdr>
                        <w:top w:val="none" w:sz="0" w:space="0" w:color="auto"/>
                        <w:left w:val="none" w:sz="0" w:space="0" w:color="auto"/>
                        <w:bottom w:val="none" w:sz="0" w:space="0" w:color="auto"/>
                        <w:right w:val="none" w:sz="0" w:space="0" w:color="auto"/>
                      </w:divBdr>
                      <w:divsChild>
                        <w:div w:id="669529914">
                          <w:marLeft w:val="0"/>
                          <w:marRight w:val="5778"/>
                          <w:marTop w:val="0"/>
                          <w:marBottom w:val="0"/>
                          <w:divBdr>
                            <w:top w:val="none" w:sz="0" w:space="0" w:color="auto"/>
                            <w:left w:val="none" w:sz="0" w:space="0" w:color="auto"/>
                            <w:bottom w:val="none" w:sz="0" w:space="0" w:color="auto"/>
                            <w:right w:val="none" w:sz="0" w:space="0" w:color="auto"/>
                          </w:divBdr>
                          <w:divsChild>
                            <w:div w:id="1316103598">
                              <w:marLeft w:val="0"/>
                              <w:marRight w:val="0"/>
                              <w:marTop w:val="0"/>
                              <w:marBottom w:val="0"/>
                              <w:divBdr>
                                <w:top w:val="none" w:sz="0" w:space="0" w:color="auto"/>
                                <w:left w:val="none" w:sz="0" w:space="0" w:color="auto"/>
                                <w:bottom w:val="none" w:sz="0" w:space="0" w:color="auto"/>
                                <w:right w:val="none" w:sz="0" w:space="0" w:color="auto"/>
                              </w:divBdr>
                              <w:divsChild>
                                <w:div w:id="606156485">
                                  <w:marLeft w:val="150"/>
                                  <w:marRight w:val="15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9224845">
      <w:bodyDiv w:val="1"/>
      <w:marLeft w:val="0"/>
      <w:marRight w:val="0"/>
      <w:marTop w:val="0"/>
      <w:marBottom w:val="0"/>
      <w:divBdr>
        <w:top w:val="none" w:sz="0" w:space="0" w:color="auto"/>
        <w:left w:val="none" w:sz="0" w:space="0" w:color="auto"/>
        <w:bottom w:val="none" w:sz="0" w:space="0" w:color="auto"/>
        <w:right w:val="none" w:sz="0" w:space="0" w:color="auto"/>
      </w:divBdr>
    </w:div>
    <w:div w:id="1465855018">
      <w:bodyDiv w:val="1"/>
      <w:marLeft w:val="0"/>
      <w:marRight w:val="0"/>
      <w:marTop w:val="0"/>
      <w:marBottom w:val="0"/>
      <w:divBdr>
        <w:top w:val="none" w:sz="0" w:space="0" w:color="auto"/>
        <w:left w:val="none" w:sz="0" w:space="0" w:color="auto"/>
        <w:bottom w:val="none" w:sz="0" w:space="0" w:color="auto"/>
        <w:right w:val="none" w:sz="0" w:space="0" w:color="auto"/>
      </w:divBdr>
    </w:div>
    <w:div w:id="1505247979">
      <w:bodyDiv w:val="1"/>
      <w:marLeft w:val="0"/>
      <w:marRight w:val="0"/>
      <w:marTop w:val="0"/>
      <w:marBottom w:val="0"/>
      <w:divBdr>
        <w:top w:val="none" w:sz="0" w:space="0" w:color="auto"/>
        <w:left w:val="none" w:sz="0" w:space="0" w:color="auto"/>
        <w:bottom w:val="none" w:sz="0" w:space="0" w:color="auto"/>
        <w:right w:val="none" w:sz="0" w:space="0" w:color="auto"/>
      </w:divBdr>
    </w:div>
    <w:div w:id="1535070919">
      <w:bodyDiv w:val="1"/>
      <w:marLeft w:val="0"/>
      <w:marRight w:val="0"/>
      <w:marTop w:val="0"/>
      <w:marBottom w:val="0"/>
      <w:divBdr>
        <w:top w:val="none" w:sz="0" w:space="0" w:color="auto"/>
        <w:left w:val="none" w:sz="0" w:space="0" w:color="auto"/>
        <w:bottom w:val="none" w:sz="0" w:space="0" w:color="auto"/>
        <w:right w:val="none" w:sz="0" w:space="0" w:color="auto"/>
      </w:divBdr>
    </w:div>
    <w:div w:id="1541477170">
      <w:bodyDiv w:val="1"/>
      <w:marLeft w:val="0"/>
      <w:marRight w:val="0"/>
      <w:marTop w:val="0"/>
      <w:marBottom w:val="0"/>
      <w:divBdr>
        <w:top w:val="none" w:sz="0" w:space="0" w:color="auto"/>
        <w:left w:val="none" w:sz="0" w:space="0" w:color="auto"/>
        <w:bottom w:val="none" w:sz="0" w:space="0" w:color="auto"/>
        <w:right w:val="none" w:sz="0" w:space="0" w:color="auto"/>
      </w:divBdr>
    </w:div>
    <w:div w:id="1555390172">
      <w:bodyDiv w:val="1"/>
      <w:marLeft w:val="0"/>
      <w:marRight w:val="0"/>
      <w:marTop w:val="0"/>
      <w:marBottom w:val="0"/>
      <w:divBdr>
        <w:top w:val="none" w:sz="0" w:space="0" w:color="auto"/>
        <w:left w:val="none" w:sz="0" w:space="0" w:color="auto"/>
        <w:bottom w:val="none" w:sz="0" w:space="0" w:color="auto"/>
        <w:right w:val="none" w:sz="0" w:space="0" w:color="auto"/>
      </w:divBdr>
    </w:div>
    <w:div w:id="1568490016">
      <w:bodyDiv w:val="1"/>
      <w:marLeft w:val="0"/>
      <w:marRight w:val="0"/>
      <w:marTop w:val="0"/>
      <w:marBottom w:val="0"/>
      <w:divBdr>
        <w:top w:val="none" w:sz="0" w:space="0" w:color="auto"/>
        <w:left w:val="none" w:sz="0" w:space="0" w:color="auto"/>
        <w:bottom w:val="none" w:sz="0" w:space="0" w:color="auto"/>
        <w:right w:val="none" w:sz="0" w:space="0" w:color="auto"/>
      </w:divBdr>
    </w:div>
    <w:div w:id="1575309995">
      <w:bodyDiv w:val="1"/>
      <w:marLeft w:val="0"/>
      <w:marRight w:val="0"/>
      <w:marTop w:val="0"/>
      <w:marBottom w:val="0"/>
      <w:divBdr>
        <w:top w:val="none" w:sz="0" w:space="0" w:color="auto"/>
        <w:left w:val="none" w:sz="0" w:space="0" w:color="auto"/>
        <w:bottom w:val="none" w:sz="0" w:space="0" w:color="auto"/>
        <w:right w:val="none" w:sz="0" w:space="0" w:color="auto"/>
      </w:divBdr>
    </w:div>
    <w:div w:id="1667055476">
      <w:bodyDiv w:val="1"/>
      <w:marLeft w:val="0"/>
      <w:marRight w:val="0"/>
      <w:marTop w:val="0"/>
      <w:marBottom w:val="0"/>
      <w:divBdr>
        <w:top w:val="none" w:sz="0" w:space="0" w:color="auto"/>
        <w:left w:val="none" w:sz="0" w:space="0" w:color="auto"/>
        <w:bottom w:val="none" w:sz="0" w:space="0" w:color="auto"/>
        <w:right w:val="none" w:sz="0" w:space="0" w:color="auto"/>
      </w:divBdr>
    </w:div>
    <w:div w:id="1686862389">
      <w:bodyDiv w:val="1"/>
      <w:marLeft w:val="0"/>
      <w:marRight w:val="0"/>
      <w:marTop w:val="0"/>
      <w:marBottom w:val="0"/>
      <w:divBdr>
        <w:top w:val="none" w:sz="0" w:space="0" w:color="auto"/>
        <w:left w:val="none" w:sz="0" w:space="0" w:color="auto"/>
        <w:bottom w:val="none" w:sz="0" w:space="0" w:color="auto"/>
        <w:right w:val="none" w:sz="0" w:space="0" w:color="auto"/>
      </w:divBdr>
    </w:div>
    <w:div w:id="1720206587">
      <w:bodyDiv w:val="1"/>
      <w:marLeft w:val="0"/>
      <w:marRight w:val="0"/>
      <w:marTop w:val="0"/>
      <w:marBottom w:val="0"/>
      <w:divBdr>
        <w:top w:val="none" w:sz="0" w:space="0" w:color="auto"/>
        <w:left w:val="none" w:sz="0" w:space="0" w:color="auto"/>
        <w:bottom w:val="none" w:sz="0" w:space="0" w:color="auto"/>
        <w:right w:val="none" w:sz="0" w:space="0" w:color="auto"/>
      </w:divBdr>
    </w:div>
    <w:div w:id="1797136398">
      <w:bodyDiv w:val="1"/>
      <w:marLeft w:val="0"/>
      <w:marRight w:val="0"/>
      <w:marTop w:val="0"/>
      <w:marBottom w:val="0"/>
      <w:divBdr>
        <w:top w:val="none" w:sz="0" w:space="0" w:color="auto"/>
        <w:left w:val="none" w:sz="0" w:space="0" w:color="auto"/>
        <w:bottom w:val="none" w:sz="0" w:space="0" w:color="auto"/>
        <w:right w:val="none" w:sz="0" w:space="0" w:color="auto"/>
      </w:divBdr>
    </w:div>
    <w:div w:id="1829978948">
      <w:bodyDiv w:val="1"/>
      <w:marLeft w:val="0"/>
      <w:marRight w:val="0"/>
      <w:marTop w:val="0"/>
      <w:marBottom w:val="0"/>
      <w:divBdr>
        <w:top w:val="none" w:sz="0" w:space="0" w:color="auto"/>
        <w:left w:val="none" w:sz="0" w:space="0" w:color="auto"/>
        <w:bottom w:val="none" w:sz="0" w:space="0" w:color="auto"/>
        <w:right w:val="none" w:sz="0" w:space="0" w:color="auto"/>
      </w:divBdr>
    </w:div>
    <w:div w:id="1842696308">
      <w:bodyDiv w:val="1"/>
      <w:marLeft w:val="0"/>
      <w:marRight w:val="0"/>
      <w:marTop w:val="0"/>
      <w:marBottom w:val="0"/>
      <w:divBdr>
        <w:top w:val="none" w:sz="0" w:space="0" w:color="auto"/>
        <w:left w:val="none" w:sz="0" w:space="0" w:color="auto"/>
        <w:bottom w:val="none" w:sz="0" w:space="0" w:color="auto"/>
        <w:right w:val="none" w:sz="0" w:space="0" w:color="auto"/>
      </w:divBdr>
    </w:div>
    <w:div w:id="1843470031">
      <w:bodyDiv w:val="1"/>
      <w:marLeft w:val="0"/>
      <w:marRight w:val="0"/>
      <w:marTop w:val="0"/>
      <w:marBottom w:val="0"/>
      <w:divBdr>
        <w:top w:val="none" w:sz="0" w:space="0" w:color="auto"/>
        <w:left w:val="none" w:sz="0" w:space="0" w:color="auto"/>
        <w:bottom w:val="none" w:sz="0" w:space="0" w:color="auto"/>
        <w:right w:val="none" w:sz="0" w:space="0" w:color="auto"/>
      </w:divBdr>
    </w:div>
    <w:div w:id="1882596233">
      <w:bodyDiv w:val="1"/>
      <w:marLeft w:val="0"/>
      <w:marRight w:val="0"/>
      <w:marTop w:val="0"/>
      <w:marBottom w:val="0"/>
      <w:divBdr>
        <w:top w:val="none" w:sz="0" w:space="0" w:color="auto"/>
        <w:left w:val="none" w:sz="0" w:space="0" w:color="auto"/>
        <w:bottom w:val="none" w:sz="0" w:space="0" w:color="auto"/>
        <w:right w:val="none" w:sz="0" w:space="0" w:color="auto"/>
      </w:divBdr>
    </w:div>
    <w:div w:id="1907689688">
      <w:bodyDiv w:val="1"/>
      <w:marLeft w:val="0"/>
      <w:marRight w:val="0"/>
      <w:marTop w:val="0"/>
      <w:marBottom w:val="0"/>
      <w:divBdr>
        <w:top w:val="none" w:sz="0" w:space="0" w:color="auto"/>
        <w:left w:val="none" w:sz="0" w:space="0" w:color="auto"/>
        <w:bottom w:val="none" w:sz="0" w:space="0" w:color="auto"/>
        <w:right w:val="none" w:sz="0" w:space="0" w:color="auto"/>
      </w:divBdr>
    </w:div>
    <w:div w:id="1933195307">
      <w:bodyDiv w:val="1"/>
      <w:marLeft w:val="0"/>
      <w:marRight w:val="0"/>
      <w:marTop w:val="0"/>
      <w:marBottom w:val="0"/>
      <w:divBdr>
        <w:top w:val="none" w:sz="0" w:space="0" w:color="auto"/>
        <w:left w:val="none" w:sz="0" w:space="0" w:color="auto"/>
        <w:bottom w:val="none" w:sz="0" w:space="0" w:color="auto"/>
        <w:right w:val="none" w:sz="0" w:space="0" w:color="auto"/>
      </w:divBdr>
    </w:div>
    <w:div w:id="1944219410">
      <w:bodyDiv w:val="1"/>
      <w:marLeft w:val="0"/>
      <w:marRight w:val="0"/>
      <w:marTop w:val="0"/>
      <w:marBottom w:val="0"/>
      <w:divBdr>
        <w:top w:val="none" w:sz="0" w:space="0" w:color="auto"/>
        <w:left w:val="none" w:sz="0" w:space="0" w:color="auto"/>
        <w:bottom w:val="none" w:sz="0" w:space="0" w:color="auto"/>
        <w:right w:val="none" w:sz="0" w:space="0" w:color="auto"/>
      </w:divBdr>
    </w:div>
    <w:div w:id="1957831577">
      <w:bodyDiv w:val="1"/>
      <w:marLeft w:val="0"/>
      <w:marRight w:val="0"/>
      <w:marTop w:val="0"/>
      <w:marBottom w:val="0"/>
      <w:divBdr>
        <w:top w:val="none" w:sz="0" w:space="0" w:color="auto"/>
        <w:left w:val="none" w:sz="0" w:space="0" w:color="auto"/>
        <w:bottom w:val="none" w:sz="0" w:space="0" w:color="auto"/>
        <w:right w:val="none" w:sz="0" w:space="0" w:color="auto"/>
      </w:divBdr>
    </w:div>
    <w:div w:id="1998654163">
      <w:bodyDiv w:val="1"/>
      <w:marLeft w:val="0"/>
      <w:marRight w:val="0"/>
      <w:marTop w:val="0"/>
      <w:marBottom w:val="0"/>
      <w:divBdr>
        <w:top w:val="none" w:sz="0" w:space="0" w:color="auto"/>
        <w:left w:val="none" w:sz="0" w:space="0" w:color="auto"/>
        <w:bottom w:val="none" w:sz="0" w:space="0" w:color="auto"/>
        <w:right w:val="none" w:sz="0" w:space="0" w:color="auto"/>
      </w:divBdr>
    </w:div>
    <w:div w:id="2023243502">
      <w:bodyDiv w:val="1"/>
      <w:marLeft w:val="0"/>
      <w:marRight w:val="0"/>
      <w:marTop w:val="0"/>
      <w:marBottom w:val="0"/>
      <w:divBdr>
        <w:top w:val="none" w:sz="0" w:space="0" w:color="auto"/>
        <w:left w:val="none" w:sz="0" w:space="0" w:color="auto"/>
        <w:bottom w:val="none" w:sz="0" w:space="0" w:color="auto"/>
        <w:right w:val="none" w:sz="0" w:space="0" w:color="auto"/>
      </w:divBdr>
    </w:div>
    <w:div w:id="2043045385">
      <w:bodyDiv w:val="1"/>
      <w:marLeft w:val="0"/>
      <w:marRight w:val="0"/>
      <w:marTop w:val="0"/>
      <w:marBottom w:val="0"/>
      <w:divBdr>
        <w:top w:val="none" w:sz="0" w:space="0" w:color="auto"/>
        <w:left w:val="none" w:sz="0" w:space="0" w:color="auto"/>
        <w:bottom w:val="none" w:sz="0" w:space="0" w:color="auto"/>
        <w:right w:val="none" w:sz="0" w:space="0" w:color="auto"/>
      </w:divBdr>
    </w:div>
    <w:div w:id="2086535969">
      <w:bodyDiv w:val="1"/>
      <w:marLeft w:val="0"/>
      <w:marRight w:val="0"/>
      <w:marTop w:val="0"/>
      <w:marBottom w:val="0"/>
      <w:divBdr>
        <w:top w:val="none" w:sz="0" w:space="0" w:color="auto"/>
        <w:left w:val="none" w:sz="0" w:space="0" w:color="auto"/>
        <w:bottom w:val="none" w:sz="0" w:space="0" w:color="auto"/>
        <w:right w:val="none" w:sz="0" w:space="0" w:color="auto"/>
      </w:divBdr>
    </w:div>
    <w:div w:id="2105876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chart" Target="charts/chart4.xml"/><Relationship Id="rId10" Type="http://schemas.openxmlformats.org/officeDocument/2006/relationships/chart" Target="charts/chart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lramovic\Desktop\Grafici%20-%20Rebalans%202016.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lramovic\Desktop\Grafici%20-%20Rebalans%202016.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lramovic\Desktop\Grafici%20-%20Rebalans%202016.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lramovic\Desktop\Grafici%20-%20Rebalans%20201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1"/>
    </mc:Choice>
    <mc:Fallback>
      <c:style val="21"/>
    </mc:Fallback>
  </mc:AlternateContent>
  <c:chart>
    <c:autoTitleDeleted val="0"/>
    <c:plotArea>
      <c:layout/>
      <c:barChart>
        <c:barDir val="col"/>
        <c:grouping val="clustered"/>
        <c:varyColors val="0"/>
        <c:ser>
          <c:idx val="0"/>
          <c:order val="0"/>
          <c:tx>
            <c:strRef>
              <c:f>'Ukupni prihodi'!$C$30</c:f>
              <c:strCache>
                <c:ptCount val="1"/>
                <c:pt idx="0">
                  <c:v>Budžet FBiH za 2016. godinu</c:v>
                </c:pt>
              </c:strCache>
            </c:strRef>
          </c:tx>
          <c:invertIfNegative val="0"/>
          <c:cat>
            <c:numRef>
              <c:f>'Ukupni prihodi'!$A$32:$A$43</c:f>
              <c:numCache>
                <c:formatCode>General</c:formatCode>
                <c:ptCount val="12"/>
                <c:pt idx="0">
                  <c:v>711</c:v>
                </c:pt>
                <c:pt idx="1">
                  <c:v>717</c:v>
                </c:pt>
                <c:pt idx="2">
                  <c:v>719</c:v>
                </c:pt>
                <c:pt idx="3">
                  <c:v>777</c:v>
                </c:pt>
                <c:pt idx="4">
                  <c:v>721</c:v>
                </c:pt>
                <c:pt idx="5">
                  <c:v>722</c:v>
                </c:pt>
                <c:pt idx="6">
                  <c:v>723</c:v>
                </c:pt>
                <c:pt idx="7">
                  <c:v>733</c:v>
                </c:pt>
                <c:pt idx="8">
                  <c:v>811</c:v>
                </c:pt>
                <c:pt idx="9">
                  <c:v>813</c:v>
                </c:pt>
                <c:pt idx="10">
                  <c:v>814</c:v>
                </c:pt>
                <c:pt idx="11">
                  <c:v>815</c:v>
                </c:pt>
              </c:numCache>
            </c:numRef>
          </c:cat>
          <c:val>
            <c:numRef>
              <c:f>'Ukupni prihodi'!$C$32:$C$43</c:f>
              <c:numCache>
                <c:formatCode>#,##0</c:formatCode>
                <c:ptCount val="12"/>
                <c:pt idx="0">
                  <c:v>44646744</c:v>
                </c:pt>
                <c:pt idx="1">
                  <c:v>1395597358</c:v>
                </c:pt>
                <c:pt idx="2">
                  <c:v>360000</c:v>
                </c:pt>
                <c:pt idx="3">
                  <c:v>0</c:v>
                </c:pt>
                <c:pt idx="4">
                  <c:v>328634249</c:v>
                </c:pt>
                <c:pt idx="5">
                  <c:v>103916510</c:v>
                </c:pt>
                <c:pt idx="6">
                  <c:v>13707262</c:v>
                </c:pt>
                <c:pt idx="7">
                  <c:v>0</c:v>
                </c:pt>
                <c:pt idx="8">
                  <c:v>0</c:v>
                </c:pt>
                <c:pt idx="9">
                  <c:v>0</c:v>
                </c:pt>
                <c:pt idx="10">
                  <c:v>352000000</c:v>
                </c:pt>
                <c:pt idx="11">
                  <c:v>360000000</c:v>
                </c:pt>
              </c:numCache>
            </c:numRef>
          </c:val>
        </c:ser>
        <c:ser>
          <c:idx val="1"/>
          <c:order val="1"/>
          <c:tx>
            <c:strRef>
              <c:f>'Ukupni prihodi'!$D$30</c:f>
              <c:strCache>
                <c:ptCount val="1"/>
                <c:pt idx="0">
                  <c:v>Izmjene i dopune Budžeta FBiH za 2016. godinu</c:v>
                </c:pt>
              </c:strCache>
            </c:strRef>
          </c:tx>
          <c:invertIfNegative val="0"/>
          <c:cat>
            <c:numRef>
              <c:f>'Ukupni prihodi'!$A$32:$A$43</c:f>
              <c:numCache>
                <c:formatCode>General</c:formatCode>
                <c:ptCount val="12"/>
                <c:pt idx="0">
                  <c:v>711</c:v>
                </c:pt>
                <c:pt idx="1">
                  <c:v>717</c:v>
                </c:pt>
                <c:pt idx="2">
                  <c:v>719</c:v>
                </c:pt>
                <c:pt idx="3">
                  <c:v>777</c:v>
                </c:pt>
                <c:pt idx="4">
                  <c:v>721</c:v>
                </c:pt>
                <c:pt idx="5">
                  <c:v>722</c:v>
                </c:pt>
                <c:pt idx="6">
                  <c:v>723</c:v>
                </c:pt>
                <c:pt idx="7">
                  <c:v>733</c:v>
                </c:pt>
                <c:pt idx="8">
                  <c:v>811</c:v>
                </c:pt>
                <c:pt idx="9">
                  <c:v>813</c:v>
                </c:pt>
                <c:pt idx="10">
                  <c:v>814</c:v>
                </c:pt>
                <c:pt idx="11">
                  <c:v>815</c:v>
                </c:pt>
              </c:numCache>
            </c:numRef>
          </c:cat>
          <c:val>
            <c:numRef>
              <c:f>'Ukupni prihodi'!$D$32:$D$43</c:f>
              <c:numCache>
                <c:formatCode>#,##0</c:formatCode>
                <c:ptCount val="12"/>
                <c:pt idx="0">
                  <c:v>55052591</c:v>
                </c:pt>
                <c:pt idx="1">
                  <c:v>362040</c:v>
                </c:pt>
                <c:pt idx="2">
                  <c:v>360000</c:v>
                </c:pt>
                <c:pt idx="3">
                  <c:v>2040</c:v>
                </c:pt>
                <c:pt idx="4">
                  <c:v>361782139</c:v>
                </c:pt>
                <c:pt idx="5">
                  <c:v>96365640</c:v>
                </c:pt>
                <c:pt idx="6">
                  <c:v>15318793</c:v>
                </c:pt>
                <c:pt idx="7">
                  <c:v>39520</c:v>
                </c:pt>
                <c:pt idx="8">
                  <c:v>39976</c:v>
                </c:pt>
                <c:pt idx="9">
                  <c:v>0</c:v>
                </c:pt>
                <c:pt idx="10">
                  <c:v>242622860</c:v>
                </c:pt>
                <c:pt idx="11">
                  <c:v>350000000</c:v>
                </c:pt>
              </c:numCache>
            </c:numRef>
          </c:val>
        </c:ser>
        <c:dLbls>
          <c:showLegendKey val="0"/>
          <c:showVal val="0"/>
          <c:showCatName val="0"/>
          <c:showSerName val="0"/>
          <c:showPercent val="0"/>
          <c:showBubbleSize val="0"/>
        </c:dLbls>
        <c:gapWidth val="75"/>
        <c:overlap val="-25"/>
        <c:axId val="651332256"/>
        <c:axId val="651332816"/>
      </c:barChart>
      <c:catAx>
        <c:axId val="651332256"/>
        <c:scaling>
          <c:orientation val="minMax"/>
        </c:scaling>
        <c:delete val="0"/>
        <c:axPos val="b"/>
        <c:numFmt formatCode="General" sourceLinked="1"/>
        <c:majorTickMark val="none"/>
        <c:minorTickMark val="none"/>
        <c:tickLblPos val="nextTo"/>
        <c:crossAx val="651332816"/>
        <c:crosses val="autoZero"/>
        <c:auto val="1"/>
        <c:lblAlgn val="ctr"/>
        <c:lblOffset val="100"/>
        <c:noMultiLvlLbl val="0"/>
      </c:catAx>
      <c:valAx>
        <c:axId val="651332816"/>
        <c:scaling>
          <c:orientation val="minMax"/>
        </c:scaling>
        <c:delete val="0"/>
        <c:axPos val="l"/>
        <c:majorGridlines/>
        <c:numFmt formatCode="#,##0" sourceLinked="1"/>
        <c:majorTickMark val="out"/>
        <c:minorTickMark val="none"/>
        <c:tickLblPos val="nextTo"/>
        <c:crossAx val="651332256"/>
        <c:crosses val="autoZero"/>
        <c:crossBetween val="between"/>
      </c:valAx>
    </c:plotArea>
    <c:legend>
      <c:legendPos val="b"/>
      <c:overlay val="0"/>
    </c:legend>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3"/>
    </mc:Choice>
    <mc:Fallback>
      <c:style val="13"/>
    </mc:Fallback>
  </mc:AlternateContent>
  <c:chart>
    <c:autoTitleDeleted val="1"/>
    <c:view3D>
      <c:rotX val="40"/>
      <c:rotY val="260"/>
      <c:rAngAx val="0"/>
      <c:perspective val="10"/>
    </c:view3D>
    <c:floor>
      <c:thickness val="0"/>
    </c:floor>
    <c:sideWall>
      <c:thickness val="0"/>
    </c:sideWall>
    <c:backWall>
      <c:thickness val="0"/>
    </c:backWall>
    <c:plotArea>
      <c:layout/>
      <c:pie3DChart>
        <c:varyColors val="1"/>
        <c:ser>
          <c:idx val="1"/>
          <c:order val="0"/>
          <c:tx>
            <c:v>Učešće pojedinih prihoda u ukupnim prihodima planiranim u Budžetu FBiH za 2013. godinu</c:v>
          </c:tx>
          <c:dLbls>
            <c:dLbl>
              <c:idx val="0"/>
              <c:layout>
                <c:manualLayout>
                  <c:x val="0"/>
                  <c:y val="2.477814093992968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1"/>
              <c:layout>
                <c:manualLayout>
                  <c:x val="0.2255534307186729"/>
                  <c:y val="1.711038478680731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2"/>
              <c:layout>
                <c:manualLayout>
                  <c:x val="0"/>
                  <c:y val="9.9039271034516915E-3"/>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3"/>
              <c:layout>
                <c:manualLayout>
                  <c:x val="0"/>
                  <c:y val="-0.37081934333679983"/>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4"/>
              <c:layout>
                <c:manualLayout>
                  <c:x val="2.1164017245248558E-2"/>
                  <c:y val="-0.33895805477145546"/>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5"/>
              <c:layout>
                <c:manualLayout>
                  <c:x val="-6.8894721493146696E-2"/>
                  <c:y val="-5.7424354974496113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6"/>
              <c:layout>
                <c:manualLayout>
                  <c:x val="-0.19633523655186869"/>
                  <c:y val="4.6758034962610807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7"/>
              <c:layout>
                <c:manualLayout>
                  <c:x val="-0.49081411289994065"/>
                  <c:y val="-3.3832693990174306E-3"/>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8"/>
              <c:layout>
                <c:manualLayout>
                  <c:x val="0"/>
                  <c:y val="0.12767320358540088"/>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9"/>
              <c:layout>
                <c:manualLayout>
                  <c:x val="0"/>
                  <c:y val="-4.9654088050314467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10"/>
              <c:layout>
                <c:manualLayout>
                  <c:x val="-1.4640021849120713E-2"/>
                  <c:y val="0.14607190610607637"/>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11"/>
              <c:layout>
                <c:manualLayout>
                  <c:x val="1.1887123019414607E-2"/>
                  <c:y val="-0.11331525776259099"/>
                </c:manualLayout>
              </c:layout>
              <c:dLblPos val="bestFit"/>
              <c:showLegendKey val="0"/>
              <c:showVal val="0"/>
              <c:showCatName val="1"/>
              <c:showSerName val="0"/>
              <c:showPercent val="1"/>
              <c:showBubbleSize val="0"/>
              <c:extLst>
                <c:ext xmlns:c15="http://schemas.microsoft.com/office/drawing/2012/chart" uri="{CE6537A1-D6FC-4f65-9D91-7224C49458BB}"/>
              </c:extLst>
            </c:dLbl>
            <c:numFmt formatCode="0.00%" sourceLinked="0"/>
            <c:spPr>
              <a:noFill/>
              <a:ln>
                <a:noFill/>
              </a:ln>
              <a:effectLst/>
            </c:spPr>
            <c:dLblPos val="bestFit"/>
            <c:showLegendKey val="0"/>
            <c:showVal val="0"/>
            <c:showCatName val="1"/>
            <c:showSerName val="0"/>
            <c:showPercent val="1"/>
            <c:showBubbleSize val="0"/>
            <c:showLeaderLines val="1"/>
            <c:extLst>
              <c:ext xmlns:c15="http://schemas.microsoft.com/office/drawing/2012/chart" uri="{CE6537A1-D6FC-4f65-9D91-7224C49458BB}"/>
            </c:extLst>
          </c:dLbls>
          <c:cat>
            <c:strRef>
              <c:f>'Ukupni prihodi'!$B$32:$B$43</c:f>
              <c:strCache>
                <c:ptCount val="12"/>
                <c:pt idx="0">
                  <c:v>Porez na dobit pojedinaca i preduzeća</c:v>
                </c:pt>
                <c:pt idx="1">
                  <c:v>Prihodi od indirektnih poreza sa JR</c:v>
                </c:pt>
                <c:pt idx="2">
                  <c:v>Ostali porezi</c:v>
                </c:pt>
                <c:pt idx="3">
                  <c:v>Prihodi po osnovu zaostalih obaveza</c:v>
                </c:pt>
                <c:pt idx="4">
                  <c:v>Prihodi od pod. akt. i imovine i prihodi od poz. kur. razlika</c:v>
                </c:pt>
                <c:pt idx="5">
                  <c:v>Naknade i takse i prihodi od pružanja javnih usluga</c:v>
                </c:pt>
                <c:pt idx="6">
                  <c:v>Novčane kazne</c:v>
                </c:pt>
                <c:pt idx="7">
                  <c:v>Donacije</c:v>
                </c:pt>
                <c:pt idx="8">
                  <c:v>Kapitalni primici od prodaje stalnih sredstava</c:v>
                </c:pt>
                <c:pt idx="9">
                  <c:v>Primici od finansijske imovine</c:v>
                </c:pt>
                <c:pt idx="10">
                  <c:v>Dugoročni krediti i zajmovi</c:v>
                </c:pt>
                <c:pt idx="11">
                  <c:v>Kratkoročni krediti i zajmovi</c:v>
                </c:pt>
              </c:strCache>
            </c:strRef>
          </c:cat>
          <c:val>
            <c:numRef>
              <c:f>'Ukupni prihodi'!$D$32:$D$43</c:f>
              <c:numCache>
                <c:formatCode>#,##0</c:formatCode>
                <c:ptCount val="12"/>
                <c:pt idx="0">
                  <c:v>55052591</c:v>
                </c:pt>
                <c:pt idx="1">
                  <c:v>362040</c:v>
                </c:pt>
                <c:pt idx="2">
                  <c:v>360000</c:v>
                </c:pt>
                <c:pt idx="3">
                  <c:v>2040</c:v>
                </c:pt>
                <c:pt idx="4">
                  <c:v>361782139</c:v>
                </c:pt>
                <c:pt idx="5">
                  <c:v>96365640</c:v>
                </c:pt>
                <c:pt idx="6">
                  <c:v>15318793</c:v>
                </c:pt>
                <c:pt idx="7">
                  <c:v>39520</c:v>
                </c:pt>
                <c:pt idx="8">
                  <c:v>39976</c:v>
                </c:pt>
                <c:pt idx="9">
                  <c:v>0</c:v>
                </c:pt>
                <c:pt idx="10">
                  <c:v>242622860</c:v>
                </c:pt>
                <c:pt idx="11">
                  <c:v>350000000</c:v>
                </c:pt>
              </c:numCache>
            </c:numRef>
          </c:val>
        </c:ser>
        <c:dLbls>
          <c:showLegendKey val="0"/>
          <c:showVal val="0"/>
          <c:showCatName val="1"/>
          <c:showSerName val="0"/>
          <c:showPercent val="1"/>
          <c:showBubbleSize val="0"/>
          <c:showLeaderLines val="1"/>
        </c:dLbls>
      </c:pie3DChart>
    </c:plotArea>
    <c:plotVisOnly val="1"/>
    <c:dispBlanksAs val="zero"/>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1"/>
    </mc:Choice>
    <mc:Fallback>
      <c:style val="21"/>
    </mc:Fallback>
  </mc:AlternateContent>
  <c:chart>
    <c:autoTitleDeleted val="0"/>
    <c:plotArea>
      <c:layout/>
      <c:barChart>
        <c:barDir val="col"/>
        <c:grouping val="clustered"/>
        <c:varyColors val="0"/>
        <c:ser>
          <c:idx val="0"/>
          <c:order val="0"/>
          <c:tx>
            <c:strRef>
              <c:f>'Ukupni rashodi'!$C$2</c:f>
              <c:strCache>
                <c:ptCount val="1"/>
                <c:pt idx="0">
                  <c:v>Budžet FBiH za 2016. godinu</c:v>
                </c:pt>
              </c:strCache>
            </c:strRef>
          </c:tx>
          <c:invertIfNegative val="0"/>
          <c:cat>
            <c:numRef>
              <c:f>'Ukupni rashodi'!$A$4:$A$13</c:f>
              <c:numCache>
                <c:formatCode>General</c:formatCode>
                <c:ptCount val="10"/>
                <c:pt idx="0">
                  <c:v>600</c:v>
                </c:pt>
                <c:pt idx="1">
                  <c:v>611</c:v>
                </c:pt>
                <c:pt idx="2">
                  <c:v>612</c:v>
                </c:pt>
                <c:pt idx="3">
                  <c:v>613</c:v>
                </c:pt>
                <c:pt idx="4">
                  <c:v>614</c:v>
                </c:pt>
                <c:pt idx="5">
                  <c:v>615</c:v>
                </c:pt>
                <c:pt idx="6">
                  <c:v>616</c:v>
                </c:pt>
                <c:pt idx="7">
                  <c:v>821</c:v>
                </c:pt>
                <c:pt idx="8">
                  <c:v>822</c:v>
                </c:pt>
                <c:pt idx="9">
                  <c:v>823</c:v>
                </c:pt>
              </c:numCache>
            </c:numRef>
          </c:cat>
          <c:val>
            <c:numRef>
              <c:f>'Ukupni rashodi'!$C$4:$C$13</c:f>
              <c:numCache>
                <c:formatCode>#,##0</c:formatCode>
                <c:ptCount val="10"/>
                <c:pt idx="0">
                  <c:v>5155000</c:v>
                </c:pt>
                <c:pt idx="1">
                  <c:v>217536222</c:v>
                </c:pt>
                <c:pt idx="2">
                  <c:v>23344663</c:v>
                </c:pt>
                <c:pt idx="3">
                  <c:v>91821232</c:v>
                </c:pt>
                <c:pt idx="4">
                  <c:v>1073418580</c:v>
                </c:pt>
                <c:pt idx="5">
                  <c:v>16400000</c:v>
                </c:pt>
                <c:pt idx="6">
                  <c:v>123347312</c:v>
                </c:pt>
                <c:pt idx="7">
                  <c:v>33845416</c:v>
                </c:pt>
                <c:pt idx="8">
                  <c:v>19087000</c:v>
                </c:pt>
                <c:pt idx="9">
                  <c:v>974906698</c:v>
                </c:pt>
              </c:numCache>
            </c:numRef>
          </c:val>
        </c:ser>
        <c:ser>
          <c:idx val="1"/>
          <c:order val="1"/>
          <c:tx>
            <c:strRef>
              <c:f>'Ukupni rashodi'!$D$2</c:f>
              <c:strCache>
                <c:ptCount val="1"/>
                <c:pt idx="0">
                  <c:v>Izmjene i dopune Budžeta FBiH za 2016. godinu</c:v>
                </c:pt>
              </c:strCache>
            </c:strRef>
          </c:tx>
          <c:invertIfNegative val="0"/>
          <c:cat>
            <c:numRef>
              <c:f>'Ukupni rashodi'!$A$4:$A$13</c:f>
              <c:numCache>
                <c:formatCode>General</c:formatCode>
                <c:ptCount val="10"/>
                <c:pt idx="0">
                  <c:v>600</c:v>
                </c:pt>
                <c:pt idx="1">
                  <c:v>611</c:v>
                </c:pt>
                <c:pt idx="2">
                  <c:v>612</c:v>
                </c:pt>
                <c:pt idx="3">
                  <c:v>613</c:v>
                </c:pt>
                <c:pt idx="4">
                  <c:v>614</c:v>
                </c:pt>
                <c:pt idx="5">
                  <c:v>615</c:v>
                </c:pt>
                <c:pt idx="6">
                  <c:v>616</c:v>
                </c:pt>
                <c:pt idx="7">
                  <c:v>821</c:v>
                </c:pt>
                <c:pt idx="8">
                  <c:v>822</c:v>
                </c:pt>
                <c:pt idx="9">
                  <c:v>823</c:v>
                </c:pt>
              </c:numCache>
            </c:numRef>
          </c:cat>
          <c:val>
            <c:numRef>
              <c:f>'Ukupni rashodi'!$D$4:$D$13</c:f>
              <c:numCache>
                <c:formatCode>#,##0</c:formatCode>
                <c:ptCount val="10"/>
                <c:pt idx="0">
                  <c:v>5155000</c:v>
                </c:pt>
                <c:pt idx="1">
                  <c:v>208223706</c:v>
                </c:pt>
                <c:pt idx="2">
                  <c:v>22354219</c:v>
                </c:pt>
                <c:pt idx="3">
                  <c:v>92398758</c:v>
                </c:pt>
                <c:pt idx="4">
                  <c:v>1077496114</c:v>
                </c:pt>
                <c:pt idx="5">
                  <c:v>13060000</c:v>
                </c:pt>
                <c:pt idx="6">
                  <c:v>120347312</c:v>
                </c:pt>
                <c:pt idx="7">
                  <c:v>29497110</c:v>
                </c:pt>
                <c:pt idx="8">
                  <c:v>16587000</c:v>
                </c:pt>
                <c:pt idx="9">
                  <c:v>912061698</c:v>
                </c:pt>
              </c:numCache>
            </c:numRef>
          </c:val>
        </c:ser>
        <c:dLbls>
          <c:showLegendKey val="0"/>
          <c:showVal val="0"/>
          <c:showCatName val="0"/>
          <c:showSerName val="0"/>
          <c:showPercent val="0"/>
          <c:showBubbleSize val="0"/>
        </c:dLbls>
        <c:gapWidth val="75"/>
        <c:overlap val="-25"/>
        <c:axId val="653255776"/>
        <c:axId val="653256336"/>
      </c:barChart>
      <c:catAx>
        <c:axId val="653255776"/>
        <c:scaling>
          <c:orientation val="minMax"/>
        </c:scaling>
        <c:delete val="0"/>
        <c:axPos val="b"/>
        <c:numFmt formatCode="General" sourceLinked="1"/>
        <c:majorTickMark val="none"/>
        <c:minorTickMark val="none"/>
        <c:tickLblPos val="nextTo"/>
        <c:crossAx val="653256336"/>
        <c:crosses val="autoZero"/>
        <c:auto val="1"/>
        <c:lblAlgn val="ctr"/>
        <c:lblOffset val="100"/>
        <c:noMultiLvlLbl val="0"/>
      </c:catAx>
      <c:valAx>
        <c:axId val="653256336"/>
        <c:scaling>
          <c:orientation val="minMax"/>
        </c:scaling>
        <c:delete val="0"/>
        <c:axPos val="l"/>
        <c:majorGridlines/>
        <c:numFmt formatCode="#,##0" sourceLinked="1"/>
        <c:majorTickMark val="out"/>
        <c:minorTickMark val="none"/>
        <c:tickLblPos val="nextTo"/>
        <c:crossAx val="653255776"/>
        <c:crosses val="autoZero"/>
        <c:crossBetween val="between"/>
      </c:valAx>
    </c:plotArea>
    <c:legend>
      <c:legendPos val="b"/>
      <c:overlay val="0"/>
    </c:legend>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3"/>
    </mc:Choice>
    <mc:Fallback>
      <c:style val="13"/>
    </mc:Fallback>
  </mc:AlternateContent>
  <c:chart>
    <c:autoTitleDeleted val="1"/>
    <c:view3D>
      <c:rotX val="40"/>
      <c:rotY val="240"/>
      <c:rAngAx val="0"/>
      <c:perspective val="10"/>
    </c:view3D>
    <c:floor>
      <c:thickness val="0"/>
    </c:floor>
    <c:sideWall>
      <c:thickness val="0"/>
    </c:sideWall>
    <c:backWall>
      <c:thickness val="0"/>
    </c:backWall>
    <c:plotArea>
      <c:layout/>
      <c:pie3DChart>
        <c:varyColors val="1"/>
        <c:ser>
          <c:idx val="1"/>
          <c:order val="0"/>
          <c:tx>
            <c:v>Učešće pojedinih rashoda u ukupnim rashodima planiranim u Budžetu FBiH za 2013. godinu</c:v>
          </c:tx>
          <c:dLbls>
            <c:dLbl>
              <c:idx val="0"/>
              <c:layout>
                <c:manualLayout>
                  <c:x val="4.1222950278068389E-2"/>
                  <c:y val="0.1464413823272091"/>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1"/>
              <c:layout>
                <c:manualLayout>
                  <c:x val="-5.2466457427087346E-2"/>
                  <c:y val="8.7377515310586171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2"/>
              <c:layout>
                <c:manualLayout>
                  <c:x val="-4.2310629003542391E-2"/>
                  <c:y val="3.6277340332458441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3"/>
              <c:layout>
                <c:manualLayout>
                  <c:x val="-2.2359635115540628E-2"/>
                  <c:y val="-0.1518711723534558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4"/>
              <c:layout>
                <c:manualLayout>
                  <c:x val="-3.8396747609346034E-2"/>
                  <c:y val="0.16979804607757365"/>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5"/>
              <c:layout>
                <c:manualLayout>
                  <c:x val="1.9943101517904686E-2"/>
                  <c:y val="-0.23422098279381745"/>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6"/>
              <c:layout>
                <c:manualLayout>
                  <c:x val="3.426114567846851E-2"/>
                  <c:y val="-8.1582093904928557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7"/>
              <c:layout>
                <c:manualLayout>
                  <c:x val="4.0863939210395904E-2"/>
                  <c:y val="4.1666666666666666E-3"/>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8"/>
              <c:layout>
                <c:manualLayout>
                  <c:x val="-3.095259071637016E-2"/>
                  <c:y val="0.24740412656751248"/>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9"/>
              <c:layout>
                <c:manualLayout>
                  <c:x val="-5.1866453756217533E-2"/>
                  <c:y val="-0.30472987751531078"/>
                </c:manualLayout>
              </c:layout>
              <c:dLblPos val="bestFit"/>
              <c:showLegendKey val="0"/>
              <c:showVal val="0"/>
              <c:showCatName val="1"/>
              <c:showSerName val="0"/>
              <c:showPercent val="1"/>
              <c:showBubbleSize val="0"/>
              <c:extLst>
                <c:ext xmlns:c15="http://schemas.microsoft.com/office/drawing/2012/chart" uri="{CE6537A1-D6FC-4f65-9D91-7224C49458BB}"/>
              </c:extLst>
            </c:dLbl>
            <c:numFmt formatCode="0.00%" sourceLinked="0"/>
            <c:spPr>
              <a:noFill/>
              <a:ln>
                <a:noFill/>
              </a:ln>
              <a:effectLst/>
            </c:spPr>
            <c:dLblPos val="bestFit"/>
            <c:showLegendKey val="0"/>
            <c:showVal val="0"/>
            <c:showCatName val="1"/>
            <c:showSerName val="0"/>
            <c:showPercent val="1"/>
            <c:showBubbleSize val="0"/>
            <c:showLeaderLines val="1"/>
            <c:extLst>
              <c:ext xmlns:c15="http://schemas.microsoft.com/office/drawing/2012/chart" uri="{CE6537A1-D6FC-4f65-9D91-7224C49458BB}"/>
            </c:extLst>
          </c:dLbls>
          <c:cat>
            <c:strRef>
              <c:f>'Ukupni rashodi'!$B$4:$B$13</c:f>
              <c:strCache>
                <c:ptCount val="10"/>
                <c:pt idx="0">
                  <c:v>Tekuća rezerva</c:v>
                </c:pt>
                <c:pt idx="1">
                  <c:v>Plaće i naknade troškova zaposlenih</c:v>
                </c:pt>
                <c:pt idx="2">
                  <c:v>Doprinosi poslodavca i ostali dop.</c:v>
                </c:pt>
                <c:pt idx="3">
                  <c:v>Izdaci za materijal, sitni inv. i usluge</c:v>
                </c:pt>
                <c:pt idx="4">
                  <c:v>Tekući transferi i drugi tekući rashodi</c:v>
                </c:pt>
                <c:pt idx="5">
                  <c:v>Kapitalni transferi</c:v>
                </c:pt>
                <c:pt idx="6">
                  <c:v>Izdaci za kamate</c:v>
                </c:pt>
                <c:pt idx="7">
                  <c:v>Izdaci za nabavku stalnih sredstava</c:v>
                </c:pt>
                <c:pt idx="8">
                  <c:v>Izdaci za finansijsku imovinu</c:v>
                </c:pt>
                <c:pt idx="9">
                  <c:v>Izdaci za otplate dugova</c:v>
                </c:pt>
              </c:strCache>
            </c:strRef>
          </c:cat>
          <c:val>
            <c:numRef>
              <c:f>'Ukupni rashodi'!$D$4:$D$13</c:f>
              <c:numCache>
                <c:formatCode>#,##0</c:formatCode>
                <c:ptCount val="10"/>
                <c:pt idx="0">
                  <c:v>5155000</c:v>
                </c:pt>
                <c:pt idx="1">
                  <c:v>208223706</c:v>
                </c:pt>
                <c:pt idx="2">
                  <c:v>22354219</c:v>
                </c:pt>
                <c:pt idx="3">
                  <c:v>92398758</c:v>
                </c:pt>
                <c:pt idx="4">
                  <c:v>1077496114</c:v>
                </c:pt>
                <c:pt idx="5">
                  <c:v>13060000</c:v>
                </c:pt>
                <c:pt idx="6">
                  <c:v>120347312</c:v>
                </c:pt>
                <c:pt idx="7">
                  <c:v>29497110</c:v>
                </c:pt>
                <c:pt idx="8">
                  <c:v>16587000</c:v>
                </c:pt>
                <c:pt idx="9">
                  <c:v>912061698</c:v>
                </c:pt>
              </c:numCache>
            </c:numRef>
          </c:val>
        </c:ser>
        <c:dLbls>
          <c:showLegendKey val="0"/>
          <c:showVal val="0"/>
          <c:showCatName val="1"/>
          <c:showSerName val="0"/>
          <c:showPercent val="1"/>
          <c:showBubbleSize val="0"/>
          <c:showLeaderLines val="1"/>
        </c:dLbls>
      </c:pie3DChart>
    </c:plotArea>
    <c:plotVisOnly val="1"/>
    <c:dispBlanksAs val="zero"/>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FEDERALNO MINISTARSTVO FINANSIJA - FINANCIJA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E27437C-7431-425C-9020-F645F9FDC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5644</Words>
  <Characters>32174</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IZVJEŠTAJ</Company>
  <LinksUpToDate>false</LinksUpToDate>
  <CharactersWithSpaces>37743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Lejla Doljancic</dc:creator>
  <cp:lastModifiedBy>Lejla Ramovic</cp:lastModifiedBy>
  <cp:revision>3</cp:revision>
  <cp:lastPrinted>2016-11-08T11:14:00Z</cp:lastPrinted>
  <dcterms:created xsi:type="dcterms:W3CDTF">2016-11-16T11:40:00Z</dcterms:created>
  <dcterms:modified xsi:type="dcterms:W3CDTF">2016-11-16T11:41:00Z</dcterms:modified>
</cp:coreProperties>
</file>